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CB3" w:rsidRPr="00357DC2" w:rsidRDefault="00E77CB3" w:rsidP="00357DC2">
      <w:pPr>
        <w:jc w:val="center"/>
        <w:rPr>
          <w:lang w:val="fr-FR"/>
        </w:rPr>
      </w:pPr>
      <w:bookmarkStart w:id="0" w:name="_GoBack"/>
      <w:bookmarkEnd w:id="0"/>
    </w:p>
    <w:p w:rsidR="00F433CB" w:rsidRPr="00357DC2" w:rsidRDefault="00F433CB" w:rsidP="00357DC2">
      <w:pPr>
        <w:jc w:val="center"/>
        <w:rPr>
          <w:lang w:val="fr-FR"/>
        </w:rPr>
      </w:pPr>
    </w:p>
    <w:p w:rsidR="00F433CB" w:rsidRPr="00357DC2" w:rsidRDefault="00F433CB" w:rsidP="00357DC2">
      <w:pPr>
        <w:jc w:val="center"/>
        <w:rPr>
          <w:lang w:val="fr-FR"/>
        </w:rPr>
      </w:pPr>
    </w:p>
    <w:p w:rsidR="00E77CB3" w:rsidRPr="00357DC2" w:rsidRDefault="00520396" w:rsidP="00357DC2">
      <w:pPr>
        <w:jc w:val="center"/>
        <w:rPr>
          <w:lang w:val="fr-FR"/>
        </w:rPr>
      </w:pPr>
      <w:r w:rsidRPr="00357DC2">
        <w:rPr>
          <w:lang w:val="fr-FR"/>
        </w:rPr>
        <w:t>PREMIÈRE SECTION</w:t>
      </w:r>
    </w:p>
    <w:p w:rsidR="00E77CB3" w:rsidRPr="00357DC2" w:rsidRDefault="00E77CB3" w:rsidP="00357DC2">
      <w:pPr>
        <w:jc w:val="center"/>
        <w:rPr>
          <w:lang w:val="fr-FR"/>
        </w:rPr>
      </w:pPr>
    </w:p>
    <w:p w:rsidR="00F433CB" w:rsidRPr="00357DC2" w:rsidRDefault="00F433CB" w:rsidP="00357DC2">
      <w:pPr>
        <w:jc w:val="center"/>
        <w:rPr>
          <w:lang w:val="fr-FR"/>
        </w:rPr>
      </w:pPr>
    </w:p>
    <w:p w:rsidR="00F433CB" w:rsidRPr="00357DC2" w:rsidRDefault="00F433CB" w:rsidP="00357DC2">
      <w:pPr>
        <w:jc w:val="center"/>
        <w:rPr>
          <w:lang w:val="fr-FR"/>
        </w:rPr>
      </w:pPr>
    </w:p>
    <w:p w:rsidR="00F433CB" w:rsidRPr="00357DC2" w:rsidRDefault="00F433CB" w:rsidP="00357DC2">
      <w:pPr>
        <w:jc w:val="center"/>
        <w:rPr>
          <w:lang w:val="fr-FR"/>
        </w:rPr>
      </w:pPr>
    </w:p>
    <w:p w:rsidR="00F433CB" w:rsidRPr="00357DC2" w:rsidRDefault="00F433CB" w:rsidP="00357DC2">
      <w:pPr>
        <w:jc w:val="center"/>
        <w:rPr>
          <w:lang w:val="fr-FR"/>
        </w:rPr>
      </w:pPr>
    </w:p>
    <w:p w:rsidR="00F433CB" w:rsidRPr="00357DC2" w:rsidRDefault="00F433CB" w:rsidP="00357DC2">
      <w:pPr>
        <w:jc w:val="center"/>
        <w:rPr>
          <w:lang w:val="fr-FR"/>
        </w:rPr>
      </w:pPr>
    </w:p>
    <w:p w:rsidR="00E77CB3" w:rsidRPr="00357DC2" w:rsidRDefault="00E77CB3" w:rsidP="00357DC2">
      <w:pPr>
        <w:jc w:val="center"/>
        <w:rPr>
          <w:b/>
          <w:lang w:val="fr-FR"/>
        </w:rPr>
      </w:pPr>
      <w:bookmarkStart w:id="1" w:name="To"/>
      <w:r w:rsidRPr="00357DC2">
        <w:rPr>
          <w:b/>
          <w:lang w:val="fr-FR"/>
        </w:rPr>
        <w:t xml:space="preserve">AFFAIRE </w:t>
      </w:r>
      <w:bookmarkEnd w:id="1"/>
      <w:r w:rsidR="00520396" w:rsidRPr="00357DC2">
        <w:rPr>
          <w:b/>
          <w:lang w:val="fr-FR"/>
        </w:rPr>
        <w:t>DRASSICH c. ITALIE (</w:t>
      </w:r>
      <w:r w:rsidR="001F3C8E" w:rsidRPr="00357DC2">
        <w:rPr>
          <w:b/>
          <w:lang w:val="fr-FR"/>
        </w:rPr>
        <w:t>n</w:t>
      </w:r>
      <w:r w:rsidR="00520396" w:rsidRPr="00357DC2">
        <w:rPr>
          <w:b/>
          <w:vertAlign w:val="superscript"/>
          <w:lang w:val="fr-FR"/>
        </w:rPr>
        <w:t>o</w:t>
      </w:r>
      <w:r w:rsidR="00520396" w:rsidRPr="00357DC2">
        <w:rPr>
          <w:b/>
          <w:lang w:val="fr-FR"/>
        </w:rPr>
        <w:t xml:space="preserve"> 2)</w:t>
      </w:r>
    </w:p>
    <w:p w:rsidR="00E77CB3" w:rsidRPr="00357DC2" w:rsidRDefault="00E77CB3" w:rsidP="00357DC2">
      <w:pPr>
        <w:jc w:val="center"/>
        <w:rPr>
          <w:lang w:val="fr-FR"/>
        </w:rPr>
      </w:pPr>
    </w:p>
    <w:p w:rsidR="00E77CB3" w:rsidRPr="00357DC2" w:rsidRDefault="00E77CB3" w:rsidP="00357DC2">
      <w:pPr>
        <w:jc w:val="center"/>
        <w:rPr>
          <w:szCs w:val="24"/>
          <w:u w:val="single"/>
          <w:lang w:val="fr-FR"/>
        </w:rPr>
      </w:pPr>
      <w:r w:rsidRPr="00357DC2">
        <w:rPr>
          <w:i/>
          <w:lang w:val="fr-FR"/>
        </w:rPr>
        <w:t>(</w:t>
      </w:r>
      <w:r w:rsidR="00520396" w:rsidRPr="00357DC2">
        <w:rPr>
          <w:i/>
          <w:lang w:val="fr-FR"/>
        </w:rPr>
        <w:t>Requête n</w:t>
      </w:r>
      <w:r w:rsidR="00520396" w:rsidRPr="00357DC2">
        <w:rPr>
          <w:i/>
          <w:vertAlign w:val="superscript"/>
          <w:lang w:val="fr-FR"/>
        </w:rPr>
        <w:t>o</w:t>
      </w:r>
      <w:r w:rsidR="00520396" w:rsidRPr="00357DC2">
        <w:rPr>
          <w:i/>
          <w:lang w:val="fr-FR"/>
        </w:rPr>
        <w:t xml:space="preserve"> 65173/09</w:t>
      </w:r>
      <w:r w:rsidRPr="00357DC2">
        <w:rPr>
          <w:i/>
          <w:lang w:val="fr-FR"/>
        </w:rPr>
        <w:t>)</w:t>
      </w:r>
    </w:p>
    <w:p w:rsidR="00F433CB" w:rsidRPr="00357DC2" w:rsidRDefault="00F433CB" w:rsidP="00357DC2">
      <w:pPr>
        <w:jc w:val="center"/>
        <w:rPr>
          <w:szCs w:val="24"/>
          <w:lang w:val="fr-FR"/>
        </w:rPr>
      </w:pPr>
    </w:p>
    <w:p w:rsidR="00F433CB" w:rsidRPr="00357DC2" w:rsidRDefault="00F433CB" w:rsidP="00357DC2">
      <w:pPr>
        <w:jc w:val="center"/>
        <w:rPr>
          <w:szCs w:val="24"/>
          <w:lang w:val="fr-FR"/>
        </w:rPr>
      </w:pPr>
    </w:p>
    <w:p w:rsidR="00F433CB" w:rsidRPr="00357DC2" w:rsidRDefault="00F433CB" w:rsidP="00357DC2">
      <w:pPr>
        <w:jc w:val="center"/>
        <w:rPr>
          <w:szCs w:val="24"/>
          <w:lang w:val="fr-FR"/>
        </w:rPr>
      </w:pPr>
    </w:p>
    <w:p w:rsidR="00F433CB" w:rsidRPr="00357DC2" w:rsidRDefault="00F433CB" w:rsidP="00357DC2">
      <w:pPr>
        <w:jc w:val="center"/>
        <w:rPr>
          <w:szCs w:val="24"/>
          <w:lang w:val="fr-FR"/>
        </w:rPr>
      </w:pPr>
    </w:p>
    <w:p w:rsidR="00F433CB" w:rsidRPr="00357DC2" w:rsidRDefault="00F433CB" w:rsidP="00357DC2">
      <w:pPr>
        <w:jc w:val="center"/>
        <w:rPr>
          <w:szCs w:val="24"/>
          <w:lang w:val="fr-FR"/>
        </w:rPr>
      </w:pPr>
    </w:p>
    <w:p w:rsidR="00F433CB" w:rsidRPr="00357DC2" w:rsidRDefault="00F433CB" w:rsidP="00357DC2">
      <w:pPr>
        <w:jc w:val="center"/>
        <w:rPr>
          <w:szCs w:val="24"/>
          <w:lang w:val="fr-FR"/>
        </w:rPr>
      </w:pPr>
    </w:p>
    <w:p w:rsidR="00F433CB" w:rsidRPr="00357DC2" w:rsidRDefault="00F433CB" w:rsidP="00357DC2">
      <w:pPr>
        <w:jc w:val="center"/>
        <w:rPr>
          <w:szCs w:val="24"/>
          <w:lang w:val="fr-FR"/>
        </w:rPr>
      </w:pPr>
    </w:p>
    <w:p w:rsidR="00F433CB" w:rsidRPr="00357DC2" w:rsidRDefault="00F433CB" w:rsidP="00357DC2">
      <w:pPr>
        <w:jc w:val="center"/>
        <w:rPr>
          <w:szCs w:val="24"/>
          <w:lang w:val="fr-FR"/>
        </w:rPr>
      </w:pPr>
    </w:p>
    <w:p w:rsidR="00F433CB" w:rsidRPr="00357DC2" w:rsidRDefault="00F433CB" w:rsidP="00357DC2">
      <w:pPr>
        <w:jc w:val="center"/>
        <w:rPr>
          <w:szCs w:val="24"/>
          <w:lang w:val="fr-FR"/>
        </w:rPr>
      </w:pPr>
    </w:p>
    <w:p w:rsidR="00F433CB" w:rsidRPr="00357DC2" w:rsidRDefault="00F433CB" w:rsidP="00357DC2">
      <w:pPr>
        <w:jc w:val="center"/>
        <w:rPr>
          <w:szCs w:val="24"/>
          <w:lang w:val="fr-FR"/>
        </w:rPr>
      </w:pPr>
      <w:r w:rsidRPr="00357DC2">
        <w:rPr>
          <w:szCs w:val="24"/>
          <w:lang w:val="fr-FR"/>
        </w:rPr>
        <w:t>ARRÊT</w:t>
      </w:r>
    </w:p>
    <w:p w:rsidR="00F433CB" w:rsidRPr="00357DC2" w:rsidRDefault="00F433CB" w:rsidP="00357DC2">
      <w:pPr>
        <w:jc w:val="center"/>
        <w:rPr>
          <w:szCs w:val="24"/>
          <w:lang w:val="fr-FR"/>
        </w:rPr>
      </w:pPr>
    </w:p>
    <w:p w:rsidR="007F0D8C" w:rsidRPr="00357DC2" w:rsidRDefault="007F0D8C" w:rsidP="00357DC2">
      <w:pPr>
        <w:jc w:val="center"/>
        <w:rPr>
          <w:szCs w:val="24"/>
          <w:lang w:val="fr-FR"/>
        </w:rPr>
      </w:pPr>
    </w:p>
    <w:p w:rsidR="007F0D8C" w:rsidRPr="00357DC2" w:rsidRDefault="007F0D8C" w:rsidP="00357DC2">
      <w:pPr>
        <w:jc w:val="center"/>
        <w:rPr>
          <w:szCs w:val="24"/>
          <w:lang w:val="fr-FR"/>
        </w:rPr>
      </w:pPr>
    </w:p>
    <w:p w:rsidR="00F433CB" w:rsidRPr="00357DC2" w:rsidRDefault="00F433CB" w:rsidP="00357DC2">
      <w:pPr>
        <w:jc w:val="center"/>
        <w:rPr>
          <w:szCs w:val="24"/>
          <w:lang w:val="fr-FR"/>
        </w:rPr>
      </w:pPr>
      <w:r w:rsidRPr="00357DC2">
        <w:rPr>
          <w:szCs w:val="24"/>
          <w:lang w:val="fr-FR"/>
        </w:rPr>
        <w:t>STRASBOURG</w:t>
      </w:r>
    </w:p>
    <w:p w:rsidR="00F433CB" w:rsidRPr="00357DC2" w:rsidRDefault="00F433CB" w:rsidP="00357DC2">
      <w:pPr>
        <w:jc w:val="center"/>
        <w:rPr>
          <w:szCs w:val="24"/>
          <w:lang w:val="fr-FR"/>
        </w:rPr>
      </w:pPr>
    </w:p>
    <w:p w:rsidR="00F433CB" w:rsidRPr="00357DC2" w:rsidRDefault="007F0D8C" w:rsidP="00357DC2">
      <w:pPr>
        <w:jc w:val="center"/>
        <w:rPr>
          <w:szCs w:val="24"/>
          <w:lang w:val="fr-FR"/>
        </w:rPr>
      </w:pPr>
      <w:r w:rsidRPr="00357DC2">
        <w:rPr>
          <w:szCs w:val="24"/>
          <w:lang w:val="fr-FR"/>
        </w:rPr>
        <w:t>22 février 2018</w:t>
      </w:r>
    </w:p>
    <w:p w:rsidR="00F433CB" w:rsidRPr="00357DC2" w:rsidRDefault="00F433CB" w:rsidP="00357DC2">
      <w:pPr>
        <w:jc w:val="center"/>
        <w:rPr>
          <w:szCs w:val="24"/>
          <w:lang w:val="fr-FR"/>
        </w:rPr>
      </w:pPr>
    </w:p>
    <w:p w:rsidR="00F433CB" w:rsidRPr="00357DC2" w:rsidRDefault="00F433CB" w:rsidP="00357DC2">
      <w:pPr>
        <w:pStyle w:val="ECHRPara"/>
        <w:ind w:firstLine="0"/>
        <w:jc w:val="center"/>
        <w:rPr>
          <w:lang w:val="fr-FR"/>
        </w:rPr>
      </w:pPr>
    </w:p>
    <w:p w:rsidR="007F0D8C" w:rsidRPr="00357DC2" w:rsidRDefault="007F0D8C" w:rsidP="00357DC2">
      <w:pPr>
        <w:pStyle w:val="ECHRPara"/>
        <w:ind w:firstLine="0"/>
        <w:jc w:val="center"/>
        <w:rPr>
          <w:lang w:val="fr-FR"/>
        </w:rPr>
      </w:pPr>
    </w:p>
    <w:p w:rsidR="007F0D8C" w:rsidRPr="00357DC2" w:rsidRDefault="007F0D8C" w:rsidP="00357DC2">
      <w:pPr>
        <w:pStyle w:val="ECHRPara"/>
        <w:ind w:firstLine="0"/>
        <w:jc w:val="center"/>
        <w:rPr>
          <w:lang w:val="fr-FR"/>
        </w:rPr>
      </w:pPr>
    </w:p>
    <w:p w:rsidR="007F0D8C" w:rsidRPr="00357DC2" w:rsidRDefault="007F0D8C" w:rsidP="00357DC2">
      <w:pPr>
        <w:pStyle w:val="ECHRPara"/>
        <w:ind w:firstLine="0"/>
        <w:jc w:val="center"/>
        <w:rPr>
          <w:lang w:val="fr-FR"/>
        </w:rPr>
      </w:pPr>
    </w:p>
    <w:p w:rsidR="007F0D8C" w:rsidRPr="00357DC2" w:rsidRDefault="007F0D8C" w:rsidP="00357DC2">
      <w:pPr>
        <w:pStyle w:val="ECHRPara"/>
        <w:ind w:firstLine="0"/>
        <w:jc w:val="center"/>
        <w:rPr>
          <w:lang w:val="fr-FR"/>
        </w:rPr>
      </w:pPr>
    </w:p>
    <w:p w:rsidR="00F433CB" w:rsidRPr="00357DC2" w:rsidRDefault="007F0D8C" w:rsidP="00357DC2">
      <w:pPr>
        <w:jc w:val="left"/>
        <w:rPr>
          <w:i/>
          <w:sz w:val="22"/>
          <w:lang w:val="fr-FR"/>
        </w:rPr>
      </w:pPr>
      <w:r w:rsidRPr="00357DC2">
        <w:rPr>
          <w:i/>
          <w:sz w:val="22"/>
          <w:lang w:val="fr-FR"/>
        </w:rPr>
        <w:t>Cet arrêt deviendra définitif dans les conditions définies à l</w:t>
      </w:r>
      <w:r w:rsidR="00357DC2" w:rsidRPr="00357DC2">
        <w:rPr>
          <w:i/>
          <w:sz w:val="22"/>
          <w:lang w:val="fr-FR"/>
        </w:rPr>
        <w:t>’</w:t>
      </w:r>
      <w:r w:rsidRPr="00357DC2">
        <w:rPr>
          <w:i/>
          <w:sz w:val="22"/>
          <w:lang w:val="fr-FR"/>
        </w:rPr>
        <w:t>article 44 § 2 de la Convention. Il peut subir des retouches de forme.</w:t>
      </w:r>
    </w:p>
    <w:p w:rsidR="00F433CB" w:rsidRPr="00357DC2" w:rsidRDefault="00F433CB" w:rsidP="00357DC2">
      <w:pPr>
        <w:pStyle w:val="ECHRPara"/>
        <w:rPr>
          <w:lang w:val="fr-FR"/>
        </w:rPr>
        <w:sectPr w:rsidR="00F433CB" w:rsidRPr="00357DC2" w:rsidSect="00F433CB">
          <w:headerReference w:type="default" r:id="rId11"/>
          <w:headerReference w:type="first" r:id="rId12"/>
          <w:footerReference w:type="first" r:id="rId13"/>
          <w:footnotePr>
            <w:numRestart w:val="eachSect"/>
          </w:footnotePr>
          <w:pgSz w:w="11906" w:h="16838" w:code="9"/>
          <w:pgMar w:top="2274" w:right="2274" w:bottom="2274" w:left="2274" w:header="1701" w:footer="720" w:gutter="0"/>
          <w:pgNumType w:start="1"/>
          <w:cols w:space="720"/>
          <w:titlePg/>
          <w:docGrid w:linePitch="326"/>
        </w:sectPr>
      </w:pPr>
    </w:p>
    <w:p w:rsidR="00E77CB3" w:rsidRPr="00357DC2" w:rsidRDefault="00E77CB3" w:rsidP="00357DC2">
      <w:pPr>
        <w:pStyle w:val="JuCase"/>
        <w:rPr>
          <w:lang w:val="fr-FR"/>
        </w:rPr>
      </w:pPr>
      <w:r w:rsidRPr="00357DC2">
        <w:rPr>
          <w:lang w:val="fr-FR"/>
        </w:rPr>
        <w:lastRenderedPageBreak/>
        <w:t>En l</w:t>
      </w:r>
      <w:r w:rsidR="00357DC2" w:rsidRPr="00357DC2">
        <w:rPr>
          <w:lang w:val="fr-FR"/>
        </w:rPr>
        <w:t>’</w:t>
      </w:r>
      <w:r w:rsidRPr="00357DC2">
        <w:rPr>
          <w:lang w:val="fr-FR"/>
        </w:rPr>
        <w:t xml:space="preserve">affaire </w:t>
      </w:r>
      <w:r w:rsidR="00520396" w:rsidRPr="00357DC2">
        <w:rPr>
          <w:lang w:val="fr-FR"/>
        </w:rPr>
        <w:t>Drassich c. Italie (n</w:t>
      </w:r>
      <w:r w:rsidR="00520396" w:rsidRPr="00357DC2">
        <w:rPr>
          <w:vertAlign w:val="superscript"/>
          <w:lang w:val="fr-FR"/>
        </w:rPr>
        <w:t>o</w:t>
      </w:r>
      <w:r w:rsidR="00520396" w:rsidRPr="00357DC2">
        <w:rPr>
          <w:lang w:val="fr-FR"/>
        </w:rPr>
        <w:t xml:space="preserve"> 2)</w:t>
      </w:r>
      <w:r w:rsidRPr="00357DC2">
        <w:rPr>
          <w:lang w:val="fr-FR"/>
        </w:rPr>
        <w:t>,</w:t>
      </w:r>
    </w:p>
    <w:p w:rsidR="00E77CB3" w:rsidRPr="00357DC2" w:rsidRDefault="00E77CB3" w:rsidP="00357DC2">
      <w:pPr>
        <w:pStyle w:val="ECHRPara"/>
        <w:rPr>
          <w:lang w:val="fr-FR"/>
        </w:rPr>
      </w:pPr>
      <w:r w:rsidRPr="00357DC2">
        <w:rPr>
          <w:lang w:val="fr-FR"/>
        </w:rPr>
        <w:t>La Cour européenne des droits de l</w:t>
      </w:r>
      <w:r w:rsidR="00357DC2" w:rsidRPr="00357DC2">
        <w:rPr>
          <w:lang w:val="fr-FR"/>
        </w:rPr>
        <w:t>’</w:t>
      </w:r>
      <w:r w:rsidRPr="00357DC2">
        <w:rPr>
          <w:lang w:val="fr-FR"/>
        </w:rPr>
        <w:t>homme (</w:t>
      </w:r>
      <w:r w:rsidR="00520396" w:rsidRPr="00357DC2">
        <w:rPr>
          <w:lang w:val="fr-FR"/>
        </w:rPr>
        <w:t>première section</w:t>
      </w:r>
      <w:r w:rsidRPr="00357DC2">
        <w:rPr>
          <w:lang w:val="fr-FR"/>
        </w:rPr>
        <w:t xml:space="preserve">), siégeant en </w:t>
      </w:r>
      <w:r w:rsidR="00520396" w:rsidRPr="00357DC2">
        <w:rPr>
          <w:lang w:val="fr-FR"/>
        </w:rPr>
        <w:t>une chambre composée</w:t>
      </w:r>
      <w:r w:rsidRPr="00357DC2">
        <w:rPr>
          <w:lang w:val="fr-FR"/>
        </w:rPr>
        <w:t xml:space="preserve"> de :</w:t>
      </w:r>
    </w:p>
    <w:p w:rsidR="00E77CB3" w:rsidRPr="00357DC2" w:rsidRDefault="00971805" w:rsidP="00357DC2">
      <w:pPr>
        <w:pStyle w:val="ECHRDecisionBody"/>
        <w:rPr>
          <w:lang w:val="fr-FR"/>
        </w:rPr>
      </w:pPr>
      <w:r w:rsidRPr="00357DC2">
        <w:rPr>
          <w:lang w:val="fr-FR"/>
        </w:rPr>
        <w:tab/>
        <w:t>Linos-Alexandre Sicilianos,</w:t>
      </w:r>
      <w:r w:rsidRPr="00357DC2">
        <w:rPr>
          <w:i/>
          <w:lang w:val="fr-FR"/>
        </w:rPr>
        <w:t xml:space="preserve"> président,</w:t>
      </w:r>
      <w:r w:rsidRPr="00357DC2">
        <w:rPr>
          <w:i/>
          <w:lang w:val="fr-FR"/>
        </w:rPr>
        <w:br/>
      </w:r>
      <w:r w:rsidRPr="00357DC2">
        <w:rPr>
          <w:lang w:val="fr-FR"/>
        </w:rPr>
        <w:tab/>
        <w:t>Kristina Pardalos,</w:t>
      </w:r>
      <w:r w:rsidRPr="00357DC2">
        <w:rPr>
          <w:i/>
          <w:lang w:val="fr-FR"/>
        </w:rPr>
        <w:br/>
      </w:r>
      <w:r w:rsidRPr="00357DC2">
        <w:rPr>
          <w:lang w:val="fr-FR"/>
        </w:rPr>
        <w:tab/>
        <w:t>Guido Raimondi,</w:t>
      </w:r>
      <w:r w:rsidRPr="00357DC2">
        <w:rPr>
          <w:i/>
          <w:lang w:val="fr-FR"/>
        </w:rPr>
        <w:br/>
      </w:r>
      <w:r w:rsidRPr="00357DC2">
        <w:rPr>
          <w:lang w:val="fr-FR"/>
        </w:rPr>
        <w:tab/>
        <w:t>Aleš Pejchal,</w:t>
      </w:r>
      <w:r w:rsidRPr="00357DC2">
        <w:rPr>
          <w:i/>
          <w:lang w:val="fr-FR"/>
        </w:rPr>
        <w:br/>
      </w:r>
      <w:r w:rsidRPr="00357DC2">
        <w:rPr>
          <w:lang w:val="fr-FR"/>
        </w:rPr>
        <w:tab/>
        <w:t>Ksenija Turković,</w:t>
      </w:r>
      <w:r w:rsidRPr="00357DC2">
        <w:rPr>
          <w:i/>
          <w:lang w:val="fr-FR"/>
        </w:rPr>
        <w:br/>
      </w:r>
      <w:r w:rsidRPr="00357DC2">
        <w:rPr>
          <w:lang w:val="fr-FR"/>
        </w:rPr>
        <w:tab/>
        <w:t>Armen Harutyunyan,</w:t>
      </w:r>
      <w:r w:rsidRPr="00357DC2">
        <w:rPr>
          <w:i/>
          <w:lang w:val="fr-FR"/>
        </w:rPr>
        <w:br/>
      </w:r>
      <w:r w:rsidRPr="00357DC2">
        <w:rPr>
          <w:lang w:val="fr-FR"/>
        </w:rPr>
        <w:tab/>
        <w:t>Pauliine Koskelo,</w:t>
      </w:r>
      <w:r w:rsidRPr="00357DC2">
        <w:rPr>
          <w:i/>
          <w:lang w:val="fr-FR"/>
        </w:rPr>
        <w:t xml:space="preserve"> juges,</w:t>
      </w:r>
      <w:r w:rsidR="00E77CB3" w:rsidRPr="00357DC2">
        <w:rPr>
          <w:lang w:val="fr-FR"/>
        </w:rPr>
        <w:br/>
        <w:t xml:space="preserve">et de </w:t>
      </w:r>
      <w:r w:rsidR="00520396" w:rsidRPr="00357DC2">
        <w:rPr>
          <w:lang w:val="fr-FR"/>
        </w:rPr>
        <w:t>Abel Campos</w:t>
      </w:r>
      <w:r w:rsidR="00E77CB3" w:rsidRPr="00357DC2">
        <w:rPr>
          <w:lang w:val="fr-FR"/>
        </w:rPr>
        <w:t xml:space="preserve">, </w:t>
      </w:r>
      <w:r w:rsidR="00520396" w:rsidRPr="00357DC2">
        <w:rPr>
          <w:i/>
          <w:lang w:val="fr-FR"/>
        </w:rPr>
        <w:t>greffier</w:t>
      </w:r>
      <w:r w:rsidR="00520396" w:rsidRPr="00357DC2">
        <w:rPr>
          <w:iCs/>
          <w:lang w:val="fr-FR"/>
        </w:rPr>
        <w:t xml:space="preserve"> </w:t>
      </w:r>
      <w:r w:rsidR="00520396" w:rsidRPr="00357DC2">
        <w:rPr>
          <w:i/>
          <w:iCs/>
          <w:lang w:val="fr-FR"/>
        </w:rPr>
        <w:t>d</w:t>
      </w:r>
      <w:r w:rsidR="00520396" w:rsidRPr="00357DC2">
        <w:rPr>
          <w:i/>
          <w:lang w:val="fr-FR"/>
        </w:rPr>
        <w:t>e section</w:t>
      </w:r>
      <w:r w:rsidR="00E77CB3" w:rsidRPr="00357DC2">
        <w:rPr>
          <w:lang w:val="fr-FR"/>
        </w:rPr>
        <w:t>,</w:t>
      </w:r>
    </w:p>
    <w:p w:rsidR="00E77CB3" w:rsidRPr="00357DC2" w:rsidRDefault="00E77CB3" w:rsidP="00357DC2">
      <w:pPr>
        <w:pStyle w:val="ECHRPara"/>
        <w:rPr>
          <w:lang w:val="fr-FR"/>
        </w:rPr>
      </w:pPr>
      <w:r w:rsidRPr="00357DC2">
        <w:rPr>
          <w:lang w:val="fr-FR"/>
        </w:rPr>
        <w:t xml:space="preserve">Après en avoir délibéré en chambre du conseil le </w:t>
      </w:r>
      <w:r w:rsidR="00971805" w:rsidRPr="00357DC2">
        <w:rPr>
          <w:lang w:val="fr-FR"/>
        </w:rPr>
        <w:t>30 janvier 2018</w:t>
      </w:r>
      <w:r w:rsidRPr="00357DC2">
        <w:rPr>
          <w:lang w:val="fr-FR"/>
        </w:rPr>
        <w:t>,</w:t>
      </w:r>
    </w:p>
    <w:p w:rsidR="00E77CB3" w:rsidRPr="00357DC2" w:rsidRDefault="00E77CB3" w:rsidP="00357DC2">
      <w:pPr>
        <w:pStyle w:val="ECHRPara"/>
        <w:rPr>
          <w:lang w:val="fr-FR"/>
        </w:rPr>
      </w:pPr>
      <w:r w:rsidRPr="00357DC2">
        <w:rPr>
          <w:lang w:val="fr-FR"/>
        </w:rPr>
        <w:t>Rend l</w:t>
      </w:r>
      <w:r w:rsidR="00357DC2" w:rsidRPr="00357DC2">
        <w:rPr>
          <w:lang w:val="fr-FR"/>
        </w:rPr>
        <w:t>’</w:t>
      </w:r>
      <w:r w:rsidRPr="00357DC2">
        <w:rPr>
          <w:lang w:val="fr-FR"/>
        </w:rPr>
        <w:t>arrêt que voici, adopté à cette date :</w:t>
      </w:r>
    </w:p>
    <w:p w:rsidR="00E77CB3" w:rsidRPr="00357DC2" w:rsidRDefault="00E77CB3" w:rsidP="00357DC2">
      <w:pPr>
        <w:pStyle w:val="ECHRTitle1"/>
        <w:rPr>
          <w:lang w:val="fr-FR"/>
        </w:rPr>
      </w:pPr>
      <w:r w:rsidRPr="00357DC2">
        <w:rPr>
          <w:lang w:val="fr-FR"/>
        </w:rPr>
        <w:t>PROCÉDURE</w:t>
      </w:r>
    </w:p>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1</w:t>
      </w:r>
      <w:r w:rsidRPr="00357DC2">
        <w:rPr>
          <w:lang w:val="fr-FR"/>
        </w:rPr>
        <w:fldChar w:fldCharType="end"/>
      </w:r>
      <w:r w:rsidRPr="00357DC2">
        <w:rPr>
          <w:lang w:val="fr-FR"/>
        </w:rPr>
        <w:t>.  À l</w:t>
      </w:r>
      <w:r w:rsidR="00357DC2" w:rsidRPr="00357DC2">
        <w:rPr>
          <w:lang w:val="fr-FR"/>
        </w:rPr>
        <w:t>’</w:t>
      </w:r>
      <w:r w:rsidRPr="00357DC2">
        <w:rPr>
          <w:lang w:val="fr-FR"/>
        </w:rPr>
        <w:t>origine de l</w:t>
      </w:r>
      <w:r w:rsidR="00357DC2" w:rsidRPr="00357DC2">
        <w:rPr>
          <w:lang w:val="fr-FR"/>
        </w:rPr>
        <w:t>’</w:t>
      </w:r>
      <w:r w:rsidRPr="00357DC2">
        <w:rPr>
          <w:lang w:val="fr-FR"/>
        </w:rPr>
        <w:t>affaire se trouve une requête (n</w:t>
      </w:r>
      <w:r w:rsidRPr="00357DC2">
        <w:rPr>
          <w:vertAlign w:val="superscript"/>
          <w:lang w:val="fr-FR"/>
        </w:rPr>
        <w:t>o</w:t>
      </w:r>
      <w:r w:rsidRPr="00357DC2">
        <w:rPr>
          <w:lang w:val="fr-FR"/>
        </w:rPr>
        <w:t xml:space="preserve"> 65173/09) dirigée contre la République italienne et dont un ressortissant de cet État, M.</w:t>
      </w:r>
      <w:r w:rsidR="00971805" w:rsidRPr="00357DC2">
        <w:rPr>
          <w:lang w:val="fr-FR"/>
        </w:rPr>
        <w:t> </w:t>
      </w:r>
      <w:r w:rsidRPr="00357DC2">
        <w:rPr>
          <w:lang w:val="fr-FR"/>
        </w:rPr>
        <w:t>Mauro</w:t>
      </w:r>
      <w:r w:rsidR="00971805" w:rsidRPr="00357DC2">
        <w:rPr>
          <w:lang w:val="fr-FR"/>
        </w:rPr>
        <w:t> </w:t>
      </w:r>
      <w:r w:rsidRPr="00357DC2">
        <w:rPr>
          <w:lang w:val="fr-FR"/>
        </w:rPr>
        <w:t>Drassich (« le requérant »), a saisi la Cour le 16</w:t>
      </w:r>
      <w:r w:rsidR="00971805" w:rsidRPr="00357DC2">
        <w:rPr>
          <w:lang w:val="fr-FR"/>
        </w:rPr>
        <w:t> </w:t>
      </w:r>
      <w:r w:rsidRPr="00357DC2">
        <w:rPr>
          <w:lang w:val="fr-FR"/>
        </w:rPr>
        <w:t>novembre</w:t>
      </w:r>
      <w:r w:rsidR="00971805" w:rsidRPr="00357DC2">
        <w:rPr>
          <w:lang w:val="fr-FR"/>
        </w:rPr>
        <w:t> </w:t>
      </w:r>
      <w:r w:rsidRPr="00357DC2">
        <w:rPr>
          <w:lang w:val="fr-FR"/>
        </w:rPr>
        <w:t>2009 en vertu de l</w:t>
      </w:r>
      <w:r w:rsidR="00357DC2" w:rsidRPr="00357DC2">
        <w:rPr>
          <w:lang w:val="fr-FR"/>
        </w:rPr>
        <w:t>’</w:t>
      </w:r>
      <w:r w:rsidRPr="00357DC2">
        <w:rPr>
          <w:lang w:val="fr-FR"/>
        </w:rPr>
        <w:t>article 34 de la Convention de sauvegarde des droits de l</w:t>
      </w:r>
      <w:r w:rsidR="00357DC2" w:rsidRPr="00357DC2">
        <w:rPr>
          <w:lang w:val="fr-FR"/>
        </w:rPr>
        <w:t>’</w:t>
      </w:r>
      <w:r w:rsidRPr="00357DC2">
        <w:rPr>
          <w:lang w:val="fr-FR"/>
        </w:rPr>
        <w:t>homme et des libertés fondamentales (« la Convention »).</w:t>
      </w:r>
    </w:p>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2</w:t>
      </w:r>
      <w:r w:rsidRPr="00357DC2">
        <w:rPr>
          <w:lang w:val="fr-FR"/>
        </w:rPr>
        <w:fldChar w:fldCharType="end"/>
      </w:r>
      <w:r w:rsidRPr="00357DC2">
        <w:rPr>
          <w:lang w:val="fr-FR"/>
        </w:rPr>
        <w:t>.  </w:t>
      </w:r>
      <w:r w:rsidR="00E77642" w:rsidRPr="00357DC2">
        <w:rPr>
          <w:lang w:val="fr-FR"/>
        </w:rPr>
        <w:t>Devant la Cour, l</w:t>
      </w:r>
      <w:r w:rsidRPr="00357DC2">
        <w:rPr>
          <w:lang w:val="fr-FR"/>
        </w:rPr>
        <w:t>e requérant a été représenté par M</w:t>
      </w:r>
      <w:r w:rsidRPr="00357DC2">
        <w:rPr>
          <w:vertAlign w:val="superscript"/>
          <w:lang w:val="fr-FR"/>
        </w:rPr>
        <w:t>es</w:t>
      </w:r>
      <w:r w:rsidRPr="00357DC2">
        <w:rPr>
          <w:lang w:val="fr-FR"/>
        </w:rPr>
        <w:t> L. Stortoni et C.</w:t>
      </w:r>
      <w:r w:rsidR="00971805" w:rsidRPr="00357DC2">
        <w:rPr>
          <w:lang w:val="fr-FR"/>
        </w:rPr>
        <w:t> </w:t>
      </w:r>
      <w:r w:rsidRPr="00357DC2">
        <w:rPr>
          <w:lang w:val="fr-FR"/>
        </w:rPr>
        <w:t xml:space="preserve">Parziale, avocats à Bologne et </w:t>
      </w:r>
      <w:r w:rsidR="009A6C21" w:rsidRPr="00357DC2">
        <w:rPr>
          <w:lang w:val="fr-FR"/>
        </w:rPr>
        <w:t xml:space="preserve">à </w:t>
      </w:r>
      <w:r w:rsidRPr="00357DC2">
        <w:rPr>
          <w:lang w:val="fr-FR"/>
        </w:rPr>
        <w:t>Mestre. Le gouvernement italien (« le Gouvernement ») a été représenté par son agent</w:t>
      </w:r>
      <w:r w:rsidR="00B852FA" w:rsidRPr="00357DC2">
        <w:rPr>
          <w:lang w:val="fr-FR"/>
        </w:rPr>
        <w:t>e</w:t>
      </w:r>
      <w:r w:rsidRPr="00357DC2">
        <w:rPr>
          <w:lang w:val="fr-FR"/>
        </w:rPr>
        <w:t>, M</w:t>
      </w:r>
      <w:r w:rsidRPr="00357DC2">
        <w:rPr>
          <w:vertAlign w:val="superscript"/>
          <w:lang w:val="fr-FR"/>
        </w:rPr>
        <w:t xml:space="preserve">me </w:t>
      </w:r>
      <w:r w:rsidRPr="00357DC2">
        <w:rPr>
          <w:lang w:val="fr-FR"/>
        </w:rPr>
        <w:t>E. Spatafora.</w:t>
      </w:r>
    </w:p>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3</w:t>
      </w:r>
      <w:r w:rsidRPr="00357DC2">
        <w:rPr>
          <w:lang w:val="fr-FR"/>
        </w:rPr>
        <w:fldChar w:fldCharType="end"/>
      </w:r>
      <w:r w:rsidRPr="00357DC2">
        <w:rPr>
          <w:lang w:val="fr-FR"/>
        </w:rPr>
        <w:t>.  Le requérant all</w:t>
      </w:r>
      <w:r w:rsidR="0075612F" w:rsidRPr="00357DC2">
        <w:rPr>
          <w:lang w:val="fr-FR"/>
        </w:rPr>
        <w:t>é</w:t>
      </w:r>
      <w:r w:rsidRPr="00357DC2">
        <w:rPr>
          <w:lang w:val="fr-FR"/>
        </w:rPr>
        <w:t>gu</w:t>
      </w:r>
      <w:r w:rsidR="009A6C21" w:rsidRPr="00357DC2">
        <w:rPr>
          <w:lang w:val="fr-FR"/>
        </w:rPr>
        <w:t>ait</w:t>
      </w:r>
      <w:r w:rsidRPr="00357DC2">
        <w:rPr>
          <w:lang w:val="fr-FR"/>
        </w:rPr>
        <w:t xml:space="preserve"> </w:t>
      </w:r>
      <w:r w:rsidR="009A6C21" w:rsidRPr="00357DC2">
        <w:rPr>
          <w:lang w:val="fr-FR"/>
        </w:rPr>
        <w:t xml:space="preserve">un </w:t>
      </w:r>
      <w:r w:rsidRPr="00357DC2">
        <w:rPr>
          <w:lang w:val="fr-FR"/>
        </w:rPr>
        <w:t>manque d</w:t>
      </w:r>
      <w:r w:rsidR="00357DC2" w:rsidRPr="00357DC2">
        <w:rPr>
          <w:lang w:val="fr-FR"/>
        </w:rPr>
        <w:t>’</w:t>
      </w:r>
      <w:r w:rsidRPr="00357DC2">
        <w:rPr>
          <w:lang w:val="fr-FR"/>
        </w:rPr>
        <w:t xml:space="preserve">équité de la procédure pénale </w:t>
      </w:r>
      <w:r w:rsidR="009A6C21" w:rsidRPr="00357DC2">
        <w:rPr>
          <w:lang w:val="fr-FR"/>
        </w:rPr>
        <w:t xml:space="preserve">menée </w:t>
      </w:r>
      <w:r w:rsidRPr="00357DC2">
        <w:rPr>
          <w:lang w:val="fr-FR"/>
        </w:rPr>
        <w:t>à son encontre.</w:t>
      </w:r>
    </w:p>
    <w:p w:rsidR="00520396" w:rsidRPr="00357DC2" w:rsidRDefault="00520396" w:rsidP="00357DC2">
      <w:pPr>
        <w:pStyle w:val="ECHRPara"/>
        <w:rPr>
          <w:szCs w:val="24"/>
          <w:lang w:val="fr-FR" w:eastAsia="en-GB"/>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4</w:t>
      </w:r>
      <w:r w:rsidRPr="00357DC2">
        <w:rPr>
          <w:lang w:val="fr-FR"/>
        </w:rPr>
        <w:fldChar w:fldCharType="end"/>
      </w:r>
      <w:r w:rsidRPr="00357DC2">
        <w:rPr>
          <w:lang w:val="fr-FR"/>
        </w:rPr>
        <w:t xml:space="preserve">.  Le </w:t>
      </w:r>
      <w:r w:rsidRPr="00357DC2">
        <w:rPr>
          <w:szCs w:val="24"/>
          <w:lang w:val="fr-FR"/>
        </w:rPr>
        <w:t>26 novembre 2014</w:t>
      </w:r>
      <w:r w:rsidRPr="00357DC2">
        <w:rPr>
          <w:lang w:val="fr-FR"/>
        </w:rPr>
        <w:t>, la requête a été communiquée au Gouvernement.</w:t>
      </w:r>
    </w:p>
    <w:p w:rsidR="00520396" w:rsidRPr="00357DC2" w:rsidRDefault="00520396" w:rsidP="00357DC2">
      <w:pPr>
        <w:pStyle w:val="ECHRTitle1"/>
        <w:tabs>
          <w:tab w:val="left" w:pos="5387"/>
        </w:tabs>
        <w:rPr>
          <w:lang w:val="fr-FR"/>
        </w:rPr>
      </w:pPr>
      <w:r w:rsidRPr="00357DC2">
        <w:rPr>
          <w:lang w:val="fr-FR"/>
        </w:rPr>
        <w:t>EN FAIT</w:t>
      </w:r>
    </w:p>
    <w:p w:rsidR="00520396" w:rsidRPr="00357DC2" w:rsidRDefault="00520396" w:rsidP="00357DC2">
      <w:pPr>
        <w:pStyle w:val="ECHRHeading1"/>
        <w:rPr>
          <w:lang w:val="fr-FR"/>
        </w:rPr>
      </w:pPr>
      <w:r w:rsidRPr="00357DC2">
        <w:rPr>
          <w:lang w:val="fr-FR"/>
        </w:rPr>
        <w:t>I.  LES CIRCONSTANCES DE L</w:t>
      </w:r>
      <w:r w:rsidR="00357DC2" w:rsidRPr="00357DC2">
        <w:rPr>
          <w:lang w:val="fr-FR"/>
        </w:rPr>
        <w:t>’</w:t>
      </w:r>
      <w:r w:rsidRPr="00357DC2">
        <w:rPr>
          <w:lang w:val="fr-FR"/>
        </w:rPr>
        <w:t>ESPÈCE</w:t>
      </w:r>
    </w:p>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5</w:t>
      </w:r>
      <w:r w:rsidRPr="00357DC2">
        <w:rPr>
          <w:lang w:val="fr-FR"/>
        </w:rPr>
        <w:fldChar w:fldCharType="end"/>
      </w:r>
      <w:r w:rsidRPr="00357DC2">
        <w:rPr>
          <w:lang w:val="fr-FR"/>
        </w:rPr>
        <w:t>.  Le requérant est né en 1958 et réside à Paularo.</w:t>
      </w:r>
    </w:p>
    <w:p w:rsidR="00520396" w:rsidRPr="00357DC2" w:rsidRDefault="00FA1201" w:rsidP="00357DC2">
      <w:pPr>
        <w:pStyle w:val="ECHRHeading2"/>
        <w:rPr>
          <w:lang w:val="fr-FR"/>
        </w:rPr>
      </w:pPr>
      <w:r w:rsidRPr="00357DC2">
        <w:rPr>
          <w:lang w:val="fr-FR"/>
        </w:rPr>
        <w:lastRenderedPageBreak/>
        <w:t>A</w:t>
      </w:r>
      <w:r w:rsidR="00520396" w:rsidRPr="00357DC2">
        <w:rPr>
          <w:lang w:val="fr-FR"/>
        </w:rPr>
        <w:t>.  La requête n</w:t>
      </w:r>
      <w:r w:rsidR="00520396" w:rsidRPr="00357DC2">
        <w:rPr>
          <w:vertAlign w:val="superscript"/>
          <w:lang w:val="fr-FR"/>
        </w:rPr>
        <w:t>o</w:t>
      </w:r>
      <w:r w:rsidR="00520396" w:rsidRPr="00357DC2">
        <w:rPr>
          <w:lang w:val="fr-FR"/>
        </w:rPr>
        <w:t xml:space="preserve"> 25575/04 et l</w:t>
      </w:r>
      <w:r w:rsidR="00357DC2" w:rsidRPr="00357DC2">
        <w:rPr>
          <w:lang w:val="fr-FR"/>
        </w:rPr>
        <w:t>’</w:t>
      </w:r>
      <w:r w:rsidR="00520396" w:rsidRPr="00357DC2">
        <w:rPr>
          <w:lang w:val="fr-FR"/>
        </w:rPr>
        <w:t>arrêt rendu par la Cour le 11</w:t>
      </w:r>
      <w:r w:rsidR="00971805" w:rsidRPr="00357DC2">
        <w:rPr>
          <w:lang w:val="fr-FR"/>
        </w:rPr>
        <w:t> </w:t>
      </w:r>
      <w:r w:rsidR="00520396" w:rsidRPr="00357DC2">
        <w:rPr>
          <w:lang w:val="fr-FR"/>
        </w:rPr>
        <w:t>décembre 200</w:t>
      </w:r>
      <w:r w:rsidR="00E77642" w:rsidRPr="00357DC2">
        <w:rPr>
          <w:lang w:val="fr-FR"/>
        </w:rPr>
        <w:t>7</w:t>
      </w:r>
    </w:p>
    <w:p w:rsidR="00520396" w:rsidRPr="00357DC2" w:rsidRDefault="001E6B56" w:rsidP="00357DC2">
      <w:pPr>
        <w:pStyle w:val="ECHRHeading3"/>
        <w:rPr>
          <w:lang w:val="fr-FR"/>
        </w:rPr>
      </w:pPr>
      <w:r w:rsidRPr="00357DC2">
        <w:rPr>
          <w:lang w:val="fr-FR"/>
        </w:rPr>
        <w:t>1.</w:t>
      </w:r>
      <w:r w:rsidR="00520396" w:rsidRPr="00357DC2">
        <w:rPr>
          <w:lang w:val="fr-FR"/>
        </w:rPr>
        <w:t>  La procédure pénale</w:t>
      </w:r>
    </w:p>
    <w:p w:rsidR="00520396" w:rsidRPr="00357DC2" w:rsidRDefault="0012165C"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6</w:t>
      </w:r>
      <w:r w:rsidRPr="00357DC2">
        <w:rPr>
          <w:lang w:val="fr-FR"/>
        </w:rPr>
        <w:fldChar w:fldCharType="end"/>
      </w:r>
      <w:r w:rsidRPr="00357DC2">
        <w:rPr>
          <w:lang w:val="fr-FR"/>
        </w:rPr>
        <w:t>.  </w:t>
      </w:r>
      <w:r w:rsidR="00520396" w:rsidRPr="00357DC2">
        <w:rPr>
          <w:lang w:val="fr-FR"/>
        </w:rPr>
        <w:t>Les faits sont décrits de manière détaillée dans l</w:t>
      </w:r>
      <w:r w:rsidR="00357DC2" w:rsidRPr="00357DC2">
        <w:rPr>
          <w:lang w:val="fr-FR"/>
        </w:rPr>
        <w:t>’</w:t>
      </w:r>
      <w:r w:rsidR="00520396" w:rsidRPr="00357DC2">
        <w:rPr>
          <w:lang w:val="fr-FR"/>
        </w:rPr>
        <w:t xml:space="preserve">arrêt </w:t>
      </w:r>
      <w:r w:rsidR="00520396" w:rsidRPr="00357DC2">
        <w:rPr>
          <w:i/>
          <w:lang w:val="fr-FR"/>
        </w:rPr>
        <w:t>Drassich c. Italie</w:t>
      </w:r>
      <w:r w:rsidR="00520396" w:rsidRPr="00357DC2">
        <w:rPr>
          <w:lang w:val="fr-FR"/>
        </w:rPr>
        <w:t xml:space="preserve"> </w:t>
      </w:r>
      <w:r w:rsidR="00B852FA" w:rsidRPr="00357DC2">
        <w:rPr>
          <w:lang w:val="fr-FR"/>
        </w:rPr>
        <w:t>(</w:t>
      </w:r>
      <w:r w:rsidR="00520396" w:rsidRPr="00357DC2">
        <w:rPr>
          <w:lang w:val="fr-FR"/>
        </w:rPr>
        <w:t>n</w:t>
      </w:r>
      <w:r w:rsidR="00520396" w:rsidRPr="00357DC2">
        <w:rPr>
          <w:vertAlign w:val="superscript"/>
          <w:lang w:val="fr-FR"/>
        </w:rPr>
        <w:t>o</w:t>
      </w:r>
      <w:r w:rsidR="00520396" w:rsidRPr="00357DC2">
        <w:rPr>
          <w:lang w:val="fr-FR"/>
        </w:rPr>
        <w:t xml:space="preserve"> 25575/04, §§ 5-17, 11 décembre 2007). Le requérant, un juge italien chargé de la direction de la section du tribunal de Pordenone traitant les affaires de faillite, fut renvoyé en jugement devant le tribunal de Venise pour les délits de corruption au sens de l</w:t>
      </w:r>
      <w:r w:rsidR="00357DC2" w:rsidRPr="00357DC2">
        <w:rPr>
          <w:lang w:val="fr-FR"/>
        </w:rPr>
        <w:t>’</w:t>
      </w:r>
      <w:r w:rsidR="00520396" w:rsidRPr="00357DC2">
        <w:rPr>
          <w:lang w:val="fr-FR"/>
        </w:rPr>
        <w:t>article 319 du code pénal</w:t>
      </w:r>
      <w:r w:rsidR="004B6D98" w:rsidRPr="00357DC2">
        <w:rPr>
          <w:lang w:val="fr-FR"/>
        </w:rPr>
        <w:t xml:space="preserve"> (CP)</w:t>
      </w:r>
      <w:r w:rsidR="00520396" w:rsidRPr="00357DC2">
        <w:rPr>
          <w:lang w:val="fr-FR"/>
        </w:rPr>
        <w:t xml:space="preserve">, </w:t>
      </w:r>
      <w:r w:rsidR="009A6C21" w:rsidRPr="00357DC2">
        <w:rPr>
          <w:lang w:val="fr-FR"/>
        </w:rPr>
        <w:t xml:space="preserve">de </w:t>
      </w:r>
      <w:r w:rsidR="00520396" w:rsidRPr="00357DC2">
        <w:rPr>
          <w:lang w:val="fr-FR"/>
        </w:rPr>
        <w:t xml:space="preserve">faux et </w:t>
      </w:r>
      <w:r w:rsidR="009A6C21" w:rsidRPr="00357DC2">
        <w:rPr>
          <w:lang w:val="fr-FR"/>
        </w:rPr>
        <w:t>d</w:t>
      </w:r>
      <w:r w:rsidR="00357DC2" w:rsidRPr="00357DC2">
        <w:rPr>
          <w:lang w:val="fr-FR"/>
        </w:rPr>
        <w:t>’</w:t>
      </w:r>
      <w:r w:rsidR="00520396" w:rsidRPr="00357DC2">
        <w:rPr>
          <w:lang w:val="fr-FR"/>
        </w:rPr>
        <w:t>abus de pouvoir. Il fut condamné en première instance à une peine globale de trois ans d</w:t>
      </w:r>
      <w:r w:rsidR="00357DC2" w:rsidRPr="00357DC2">
        <w:rPr>
          <w:lang w:val="fr-FR"/>
        </w:rPr>
        <w:t>’</w:t>
      </w:r>
      <w:r w:rsidR="0034726C" w:rsidRPr="00357DC2">
        <w:rPr>
          <w:lang w:val="fr-FR"/>
        </w:rPr>
        <w:t>emprisonnement. Par un arrêt du 12 juin 2002, l</w:t>
      </w:r>
      <w:r w:rsidR="00520396" w:rsidRPr="00357DC2">
        <w:rPr>
          <w:lang w:val="fr-FR"/>
        </w:rPr>
        <w:t>a cour d</w:t>
      </w:r>
      <w:r w:rsidR="00357DC2" w:rsidRPr="00357DC2">
        <w:rPr>
          <w:lang w:val="fr-FR"/>
        </w:rPr>
        <w:t>’</w:t>
      </w:r>
      <w:r w:rsidR="00520396" w:rsidRPr="00357DC2">
        <w:rPr>
          <w:lang w:val="fr-FR"/>
        </w:rPr>
        <w:t xml:space="preserve">appel de Venise confirma la condamnation du requérant pour les délits de faux et de corruption, mais elle </w:t>
      </w:r>
      <w:r w:rsidR="005354BD" w:rsidRPr="00357DC2">
        <w:rPr>
          <w:lang w:val="fr-FR"/>
        </w:rPr>
        <w:t xml:space="preserve">porta </w:t>
      </w:r>
      <w:r w:rsidR="00520396" w:rsidRPr="00357DC2">
        <w:rPr>
          <w:lang w:val="fr-FR"/>
        </w:rPr>
        <w:t>la peine à trois ans et huit mois d</w:t>
      </w:r>
      <w:r w:rsidR="00357DC2" w:rsidRPr="00357DC2">
        <w:rPr>
          <w:lang w:val="fr-FR"/>
        </w:rPr>
        <w:t>’</w:t>
      </w:r>
      <w:r w:rsidR="00520396" w:rsidRPr="00357DC2">
        <w:rPr>
          <w:lang w:val="fr-FR"/>
        </w:rPr>
        <w:t>emprisonnement.</w:t>
      </w:r>
    </w:p>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7</w:t>
      </w:r>
      <w:r w:rsidRPr="00357DC2">
        <w:rPr>
          <w:lang w:val="fr-FR"/>
        </w:rPr>
        <w:fldChar w:fldCharType="end"/>
      </w:r>
      <w:r w:rsidRPr="00357DC2">
        <w:rPr>
          <w:lang w:val="fr-FR"/>
        </w:rPr>
        <w:t xml:space="preserve">.  Le requérant se pourvut en cassation. Dans </w:t>
      </w:r>
      <w:r w:rsidR="009A6C21" w:rsidRPr="00357DC2">
        <w:rPr>
          <w:lang w:val="fr-FR"/>
        </w:rPr>
        <w:t>l</w:t>
      </w:r>
      <w:r w:rsidR="00357DC2" w:rsidRPr="00357DC2">
        <w:rPr>
          <w:lang w:val="fr-FR"/>
        </w:rPr>
        <w:t>’</w:t>
      </w:r>
      <w:r w:rsidRPr="00357DC2">
        <w:rPr>
          <w:lang w:val="fr-FR"/>
        </w:rPr>
        <w:t xml:space="preserve">un de ses moyens, il </w:t>
      </w:r>
      <w:r w:rsidR="009A6C21" w:rsidRPr="00357DC2">
        <w:rPr>
          <w:lang w:val="fr-FR"/>
        </w:rPr>
        <w:t>indiqua</w:t>
      </w:r>
      <w:r w:rsidRPr="00357DC2">
        <w:rPr>
          <w:lang w:val="fr-FR"/>
        </w:rPr>
        <w:t xml:space="preserve"> que le délit de corruption</w:t>
      </w:r>
      <w:r w:rsidR="009A6C21" w:rsidRPr="00357DC2">
        <w:rPr>
          <w:lang w:val="fr-FR"/>
        </w:rPr>
        <w:t xml:space="preserve"> était prescrit depuis août 2001</w:t>
      </w:r>
      <w:r w:rsidRPr="00357DC2">
        <w:rPr>
          <w:lang w:val="fr-FR"/>
        </w:rPr>
        <w:t xml:space="preserve"> compte tenu des circonstances atténuantes dont il a</w:t>
      </w:r>
      <w:r w:rsidR="004B6D98" w:rsidRPr="00357DC2">
        <w:rPr>
          <w:lang w:val="fr-FR"/>
        </w:rPr>
        <w:t>ur</w:t>
      </w:r>
      <w:r w:rsidRPr="00357DC2">
        <w:rPr>
          <w:lang w:val="fr-FR"/>
        </w:rPr>
        <w:t>ait bénéficié.</w:t>
      </w:r>
    </w:p>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8</w:t>
      </w:r>
      <w:r w:rsidRPr="00357DC2">
        <w:rPr>
          <w:lang w:val="fr-FR"/>
        </w:rPr>
        <w:fldChar w:fldCharType="end"/>
      </w:r>
      <w:r w:rsidRPr="00357DC2">
        <w:rPr>
          <w:lang w:val="fr-FR"/>
        </w:rPr>
        <w:t xml:space="preserve">.  Par un arrêt du 4 janvier 2004, dont le texte fut déposé au greffe le 17 mai 2004, la Cour de cassation débouta le requérant. Elle requalifia les faits de corruption </w:t>
      </w:r>
      <w:r w:rsidR="004B6D98" w:rsidRPr="00357DC2">
        <w:rPr>
          <w:lang w:val="fr-FR"/>
        </w:rPr>
        <w:t>en</w:t>
      </w:r>
      <w:r w:rsidRPr="00357DC2">
        <w:rPr>
          <w:lang w:val="fr-FR"/>
        </w:rPr>
        <w:t xml:space="preserve"> « corruption dans des actes judiciaires » (</w:t>
      </w:r>
      <w:r w:rsidRPr="00357DC2">
        <w:rPr>
          <w:i/>
          <w:lang w:val="fr-FR"/>
        </w:rPr>
        <w:t>corruzione in atti giudiziari</w:t>
      </w:r>
      <w:r w:rsidRPr="00357DC2">
        <w:rPr>
          <w:lang w:val="fr-FR"/>
        </w:rPr>
        <w:t>) au sens de l</w:t>
      </w:r>
      <w:r w:rsidR="00357DC2" w:rsidRPr="00357DC2">
        <w:rPr>
          <w:lang w:val="fr-FR"/>
        </w:rPr>
        <w:t>’</w:t>
      </w:r>
      <w:r w:rsidRPr="00357DC2">
        <w:rPr>
          <w:lang w:val="fr-FR"/>
        </w:rPr>
        <w:t>article 319</w:t>
      </w:r>
      <w:r w:rsidR="00E77642" w:rsidRPr="00357DC2">
        <w:rPr>
          <w:lang w:val="fr-FR"/>
        </w:rPr>
        <w:t xml:space="preserve"> </w:t>
      </w:r>
      <w:r w:rsidRPr="00357DC2">
        <w:rPr>
          <w:i/>
          <w:lang w:val="fr-FR"/>
        </w:rPr>
        <w:t xml:space="preserve">ter </w:t>
      </w:r>
      <w:r w:rsidRPr="00357DC2">
        <w:rPr>
          <w:lang w:val="fr-FR"/>
        </w:rPr>
        <w:t xml:space="preserve">du </w:t>
      </w:r>
      <w:r w:rsidR="004B6D98" w:rsidRPr="00357DC2">
        <w:rPr>
          <w:lang w:val="fr-FR"/>
        </w:rPr>
        <w:t>CP</w:t>
      </w:r>
      <w:r w:rsidRPr="00357DC2">
        <w:rPr>
          <w:lang w:val="fr-FR"/>
        </w:rPr>
        <w:t xml:space="preserve">. </w:t>
      </w:r>
      <w:r w:rsidR="004B6D98" w:rsidRPr="00357DC2">
        <w:rPr>
          <w:lang w:val="fr-FR"/>
        </w:rPr>
        <w:t>Elle exposa que c</w:t>
      </w:r>
      <w:r w:rsidRPr="00357DC2">
        <w:rPr>
          <w:lang w:val="fr-FR"/>
        </w:rPr>
        <w:t xml:space="preserve">ette </w:t>
      </w:r>
      <w:r w:rsidR="00B70677" w:rsidRPr="00357DC2">
        <w:rPr>
          <w:lang w:val="fr-FR"/>
        </w:rPr>
        <w:t>disposition</w:t>
      </w:r>
      <w:r w:rsidRPr="00357DC2">
        <w:rPr>
          <w:lang w:val="fr-FR"/>
        </w:rPr>
        <w:t>,</w:t>
      </w:r>
      <w:r w:rsidR="00B70677" w:rsidRPr="00357DC2">
        <w:rPr>
          <w:lang w:val="fr-FR"/>
        </w:rPr>
        <w:t xml:space="preserve"> qui</w:t>
      </w:r>
      <w:r w:rsidRPr="00357DC2">
        <w:rPr>
          <w:lang w:val="fr-FR"/>
        </w:rPr>
        <w:t xml:space="preserve"> puni</w:t>
      </w:r>
      <w:r w:rsidR="00B70677" w:rsidRPr="00357DC2">
        <w:rPr>
          <w:lang w:val="fr-FR"/>
        </w:rPr>
        <w:t>ssait</w:t>
      </w:r>
      <w:r w:rsidRPr="00357DC2">
        <w:rPr>
          <w:lang w:val="fr-FR"/>
        </w:rPr>
        <w:t xml:space="preserve"> plus sévèrement </w:t>
      </w:r>
      <w:r w:rsidR="00B70677" w:rsidRPr="00357DC2">
        <w:rPr>
          <w:lang w:val="fr-FR"/>
        </w:rPr>
        <w:t xml:space="preserve">cette dernière infraction </w:t>
      </w:r>
      <w:r w:rsidRPr="00357DC2">
        <w:rPr>
          <w:lang w:val="fr-FR"/>
        </w:rPr>
        <w:t xml:space="preserve">que celle, autonome, </w:t>
      </w:r>
      <w:r w:rsidR="00B70677" w:rsidRPr="00357DC2">
        <w:rPr>
          <w:lang w:val="fr-FR"/>
        </w:rPr>
        <w:t xml:space="preserve">sanctionnée </w:t>
      </w:r>
      <w:r w:rsidRPr="00357DC2">
        <w:rPr>
          <w:lang w:val="fr-FR"/>
        </w:rPr>
        <w:t>par l</w:t>
      </w:r>
      <w:r w:rsidR="00357DC2" w:rsidRPr="00357DC2">
        <w:rPr>
          <w:lang w:val="fr-FR"/>
        </w:rPr>
        <w:t>’</w:t>
      </w:r>
      <w:r w:rsidRPr="00357DC2">
        <w:rPr>
          <w:lang w:val="fr-FR"/>
        </w:rPr>
        <w:t>article 319, trouv</w:t>
      </w:r>
      <w:r w:rsidR="004B6D98" w:rsidRPr="00357DC2">
        <w:rPr>
          <w:lang w:val="fr-FR"/>
        </w:rPr>
        <w:t>ait</w:t>
      </w:r>
      <w:r w:rsidRPr="00357DC2">
        <w:rPr>
          <w:lang w:val="fr-FR"/>
        </w:rPr>
        <w:t xml:space="preserve"> à s</w:t>
      </w:r>
      <w:r w:rsidR="00357DC2" w:rsidRPr="00357DC2">
        <w:rPr>
          <w:lang w:val="fr-FR"/>
        </w:rPr>
        <w:t>’</w:t>
      </w:r>
      <w:r w:rsidRPr="00357DC2">
        <w:rPr>
          <w:lang w:val="fr-FR"/>
        </w:rPr>
        <w:t>appliquer lorsque la corruption a</w:t>
      </w:r>
      <w:r w:rsidR="004B6D98" w:rsidRPr="00357DC2">
        <w:rPr>
          <w:lang w:val="fr-FR"/>
        </w:rPr>
        <w:t>vait</w:t>
      </w:r>
      <w:r w:rsidRPr="00357DC2">
        <w:rPr>
          <w:lang w:val="fr-FR"/>
        </w:rPr>
        <w:t xml:space="preserve"> été commise dans le but spécifique de favoriser</w:t>
      </w:r>
      <w:r w:rsidR="005354BD" w:rsidRPr="00357DC2">
        <w:rPr>
          <w:lang w:val="fr-FR"/>
        </w:rPr>
        <w:t xml:space="preserve"> l</w:t>
      </w:r>
      <w:r w:rsidR="00357DC2" w:rsidRPr="00357DC2">
        <w:rPr>
          <w:lang w:val="fr-FR"/>
        </w:rPr>
        <w:t>’</w:t>
      </w:r>
      <w:r w:rsidR="005354BD" w:rsidRPr="00357DC2">
        <w:rPr>
          <w:lang w:val="fr-FR"/>
        </w:rPr>
        <w:t xml:space="preserve">une des parties du procès </w:t>
      </w:r>
      <w:r w:rsidRPr="00357DC2">
        <w:rPr>
          <w:lang w:val="fr-FR"/>
        </w:rPr>
        <w:t xml:space="preserve">ou de </w:t>
      </w:r>
      <w:r w:rsidR="005354BD" w:rsidRPr="00357DC2">
        <w:rPr>
          <w:lang w:val="fr-FR"/>
        </w:rPr>
        <w:t xml:space="preserve">lui </w:t>
      </w:r>
      <w:r w:rsidRPr="00357DC2">
        <w:rPr>
          <w:lang w:val="fr-FR"/>
        </w:rPr>
        <w:t xml:space="preserve">nuire. </w:t>
      </w:r>
      <w:r w:rsidR="00E77642" w:rsidRPr="00357DC2">
        <w:rPr>
          <w:lang w:val="fr-FR"/>
        </w:rPr>
        <w:t>L</w:t>
      </w:r>
      <w:r w:rsidRPr="00357DC2">
        <w:rPr>
          <w:lang w:val="fr-FR"/>
        </w:rPr>
        <w:t>a qualification juridique des faits retenue entraîna</w:t>
      </w:r>
      <w:r w:rsidR="00E77642" w:rsidRPr="00357DC2">
        <w:rPr>
          <w:lang w:val="fr-FR"/>
        </w:rPr>
        <w:t>n</w:t>
      </w:r>
      <w:r w:rsidRPr="00357DC2">
        <w:rPr>
          <w:lang w:val="fr-FR"/>
        </w:rPr>
        <w:t>t une peine supérieure à cinq ans d</w:t>
      </w:r>
      <w:r w:rsidR="00357DC2" w:rsidRPr="00357DC2">
        <w:rPr>
          <w:lang w:val="fr-FR"/>
        </w:rPr>
        <w:t>’</w:t>
      </w:r>
      <w:r w:rsidRPr="00357DC2">
        <w:rPr>
          <w:lang w:val="fr-FR"/>
        </w:rPr>
        <w:t>emprisonnement, la Cour de cassation conclut que le délai légal pr</w:t>
      </w:r>
      <w:r w:rsidR="00E77642" w:rsidRPr="00357DC2">
        <w:rPr>
          <w:lang w:val="fr-FR"/>
        </w:rPr>
        <w:t>évu</w:t>
      </w:r>
      <w:r w:rsidRPr="00357DC2">
        <w:rPr>
          <w:lang w:val="fr-FR"/>
        </w:rPr>
        <w:t xml:space="preserve"> par l</w:t>
      </w:r>
      <w:r w:rsidR="00357DC2" w:rsidRPr="00357DC2">
        <w:rPr>
          <w:lang w:val="fr-FR"/>
        </w:rPr>
        <w:t>’</w:t>
      </w:r>
      <w:r w:rsidRPr="00357DC2">
        <w:rPr>
          <w:lang w:val="fr-FR"/>
        </w:rPr>
        <w:t xml:space="preserve">article 157 du code de procédure pénale </w:t>
      </w:r>
      <w:r w:rsidR="0075612F" w:rsidRPr="00357DC2">
        <w:rPr>
          <w:lang w:val="fr-FR"/>
        </w:rPr>
        <w:t xml:space="preserve">(CPP) </w:t>
      </w:r>
      <w:r w:rsidRPr="00357DC2">
        <w:rPr>
          <w:lang w:val="fr-FR"/>
        </w:rPr>
        <w:t>pour la prescription du délit n</w:t>
      </w:r>
      <w:r w:rsidR="00357DC2" w:rsidRPr="00357DC2">
        <w:rPr>
          <w:lang w:val="fr-FR"/>
        </w:rPr>
        <w:t>’</w:t>
      </w:r>
      <w:r w:rsidR="005354BD" w:rsidRPr="00357DC2">
        <w:rPr>
          <w:lang w:val="fr-FR"/>
        </w:rPr>
        <w:t>av</w:t>
      </w:r>
      <w:r w:rsidRPr="00357DC2">
        <w:rPr>
          <w:lang w:val="fr-FR"/>
        </w:rPr>
        <w:t xml:space="preserve">ait pas encore expiré et </w:t>
      </w:r>
      <w:r w:rsidR="004B6D98" w:rsidRPr="00357DC2">
        <w:rPr>
          <w:lang w:val="fr-FR"/>
        </w:rPr>
        <w:t xml:space="preserve">elle </w:t>
      </w:r>
      <w:r w:rsidRPr="00357DC2">
        <w:rPr>
          <w:lang w:val="fr-FR"/>
        </w:rPr>
        <w:t>rejeta l</w:t>
      </w:r>
      <w:r w:rsidR="00357DC2" w:rsidRPr="00357DC2">
        <w:rPr>
          <w:lang w:val="fr-FR"/>
        </w:rPr>
        <w:t>’</w:t>
      </w:r>
      <w:r w:rsidRPr="00357DC2">
        <w:rPr>
          <w:lang w:val="fr-FR"/>
        </w:rPr>
        <w:t>exception soulevée par le requérant.</w:t>
      </w:r>
    </w:p>
    <w:p w:rsidR="00520396" w:rsidRPr="00357DC2" w:rsidRDefault="001E6B56" w:rsidP="00357DC2">
      <w:pPr>
        <w:pStyle w:val="ECHRHeading3"/>
        <w:rPr>
          <w:lang w:val="fr-FR"/>
        </w:rPr>
      </w:pPr>
      <w:r w:rsidRPr="00357DC2">
        <w:rPr>
          <w:lang w:val="fr-FR"/>
        </w:rPr>
        <w:t>2.</w:t>
      </w:r>
      <w:r w:rsidR="00520396" w:rsidRPr="00357DC2">
        <w:rPr>
          <w:lang w:val="fr-FR"/>
        </w:rPr>
        <w:t xml:space="preserve">  La procédure </w:t>
      </w:r>
      <w:r w:rsidR="004B6D98" w:rsidRPr="00357DC2">
        <w:rPr>
          <w:lang w:val="fr-FR"/>
        </w:rPr>
        <w:t>devant la Cour</w:t>
      </w:r>
    </w:p>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9</w:t>
      </w:r>
      <w:r w:rsidRPr="00357DC2">
        <w:rPr>
          <w:lang w:val="fr-FR"/>
        </w:rPr>
        <w:fldChar w:fldCharType="end"/>
      </w:r>
      <w:r w:rsidRPr="00357DC2">
        <w:rPr>
          <w:lang w:val="fr-FR"/>
        </w:rPr>
        <w:t>.  Le 14 juillet 2004, le requérant saisit la Cour en vertu de l</w:t>
      </w:r>
      <w:r w:rsidR="00357DC2" w:rsidRPr="00357DC2">
        <w:rPr>
          <w:lang w:val="fr-FR"/>
        </w:rPr>
        <w:t>’</w:t>
      </w:r>
      <w:r w:rsidR="00971805" w:rsidRPr="00357DC2">
        <w:rPr>
          <w:lang w:val="fr-FR"/>
        </w:rPr>
        <w:t>article </w:t>
      </w:r>
      <w:r w:rsidRPr="00357DC2">
        <w:rPr>
          <w:lang w:val="fr-FR"/>
        </w:rPr>
        <w:t>34 de la Convention.</w:t>
      </w:r>
    </w:p>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10</w:t>
      </w:r>
      <w:r w:rsidRPr="00357DC2">
        <w:rPr>
          <w:lang w:val="fr-FR"/>
        </w:rPr>
        <w:fldChar w:fldCharType="end"/>
      </w:r>
      <w:r w:rsidRPr="00357DC2">
        <w:rPr>
          <w:lang w:val="fr-FR"/>
        </w:rPr>
        <w:t>.  Par un arrêt du 11 décembre 200</w:t>
      </w:r>
      <w:r w:rsidR="00E77642" w:rsidRPr="00357DC2">
        <w:rPr>
          <w:lang w:val="fr-FR"/>
        </w:rPr>
        <w:t>7</w:t>
      </w:r>
      <w:r w:rsidRPr="00357DC2">
        <w:rPr>
          <w:lang w:val="fr-FR"/>
        </w:rPr>
        <w:t>, la Cour déclara la requête recevable et conclut à la violation de l</w:t>
      </w:r>
      <w:r w:rsidR="00357DC2" w:rsidRPr="00357DC2">
        <w:rPr>
          <w:lang w:val="fr-FR"/>
        </w:rPr>
        <w:t>’</w:t>
      </w:r>
      <w:r w:rsidRPr="00357DC2">
        <w:rPr>
          <w:lang w:val="fr-FR"/>
        </w:rPr>
        <w:t>article 6 §</w:t>
      </w:r>
      <w:r w:rsidR="004B6D98" w:rsidRPr="00357DC2">
        <w:rPr>
          <w:lang w:val="fr-FR"/>
        </w:rPr>
        <w:t>§</w:t>
      </w:r>
      <w:r w:rsidRPr="00357DC2">
        <w:rPr>
          <w:lang w:val="fr-FR"/>
        </w:rPr>
        <w:t xml:space="preserve"> 1 et 3 a) et b) de la Convention au</w:t>
      </w:r>
      <w:r w:rsidR="004B6D98" w:rsidRPr="00357DC2">
        <w:rPr>
          <w:lang w:val="fr-FR"/>
        </w:rPr>
        <w:t>x</w:t>
      </w:r>
      <w:r w:rsidRPr="00357DC2">
        <w:rPr>
          <w:lang w:val="fr-FR"/>
        </w:rPr>
        <w:t xml:space="preserve"> motif</w:t>
      </w:r>
      <w:r w:rsidR="004B6D98" w:rsidRPr="00357DC2">
        <w:rPr>
          <w:lang w:val="fr-FR"/>
        </w:rPr>
        <w:t>s</w:t>
      </w:r>
      <w:r w:rsidRPr="00357DC2">
        <w:rPr>
          <w:lang w:val="fr-FR"/>
        </w:rPr>
        <w:t xml:space="preserve"> que le requérant n</w:t>
      </w:r>
      <w:r w:rsidR="00357DC2" w:rsidRPr="00357DC2">
        <w:rPr>
          <w:lang w:val="fr-FR"/>
        </w:rPr>
        <w:t>’</w:t>
      </w:r>
      <w:r w:rsidRPr="00357DC2">
        <w:rPr>
          <w:lang w:val="fr-FR"/>
        </w:rPr>
        <w:t>avait pas eu la possibilité d</w:t>
      </w:r>
      <w:r w:rsidR="00357DC2" w:rsidRPr="00357DC2">
        <w:rPr>
          <w:lang w:val="fr-FR"/>
        </w:rPr>
        <w:t>’</w:t>
      </w:r>
      <w:r w:rsidRPr="00357DC2">
        <w:rPr>
          <w:lang w:val="fr-FR"/>
        </w:rPr>
        <w:t>être informé d</w:t>
      </w:r>
      <w:r w:rsidR="00357DC2" w:rsidRPr="00357DC2">
        <w:rPr>
          <w:lang w:val="fr-FR"/>
        </w:rPr>
        <w:t>’</w:t>
      </w:r>
      <w:r w:rsidRPr="00357DC2">
        <w:rPr>
          <w:lang w:val="fr-FR"/>
        </w:rPr>
        <w:t>une manière détaillée de la nature et de la cause de l</w:t>
      </w:r>
      <w:r w:rsidR="00357DC2" w:rsidRPr="00357DC2">
        <w:rPr>
          <w:lang w:val="fr-FR"/>
        </w:rPr>
        <w:t>’</w:t>
      </w:r>
      <w:r w:rsidRPr="00357DC2">
        <w:rPr>
          <w:lang w:val="fr-FR"/>
        </w:rPr>
        <w:t xml:space="preserve">accusation portée contre lui, et </w:t>
      </w:r>
      <w:r w:rsidR="004B6D98" w:rsidRPr="00357DC2">
        <w:rPr>
          <w:lang w:val="fr-FR"/>
        </w:rPr>
        <w:t>qu</w:t>
      </w:r>
      <w:r w:rsidR="00357DC2" w:rsidRPr="00357DC2">
        <w:rPr>
          <w:lang w:val="fr-FR"/>
        </w:rPr>
        <w:t>’</w:t>
      </w:r>
      <w:r w:rsidR="004B6D98" w:rsidRPr="00357DC2">
        <w:rPr>
          <w:lang w:val="fr-FR"/>
        </w:rPr>
        <w:t xml:space="preserve">il </w:t>
      </w:r>
      <w:r w:rsidRPr="00357DC2">
        <w:rPr>
          <w:lang w:val="fr-FR"/>
        </w:rPr>
        <w:t>n</w:t>
      </w:r>
      <w:r w:rsidR="00357DC2" w:rsidRPr="00357DC2">
        <w:rPr>
          <w:lang w:val="fr-FR"/>
        </w:rPr>
        <w:t>’</w:t>
      </w:r>
      <w:r w:rsidRPr="00357DC2">
        <w:rPr>
          <w:lang w:val="fr-FR"/>
        </w:rPr>
        <w:t xml:space="preserve">avait </w:t>
      </w:r>
      <w:r w:rsidR="00E77642" w:rsidRPr="00357DC2">
        <w:rPr>
          <w:lang w:val="fr-FR"/>
        </w:rPr>
        <w:t xml:space="preserve">pas </w:t>
      </w:r>
      <w:r w:rsidRPr="00357DC2">
        <w:rPr>
          <w:lang w:val="fr-FR"/>
        </w:rPr>
        <w:t>dispos</w:t>
      </w:r>
      <w:r w:rsidR="00E77642" w:rsidRPr="00357DC2">
        <w:rPr>
          <w:lang w:val="fr-FR"/>
        </w:rPr>
        <w:t>é</w:t>
      </w:r>
      <w:r w:rsidRPr="00357DC2">
        <w:rPr>
          <w:lang w:val="fr-FR"/>
        </w:rPr>
        <w:t xml:space="preserve"> du temps et des facilités nécessaires à la préparation de sa défense.</w:t>
      </w:r>
    </w:p>
    <w:p w:rsidR="00520396" w:rsidRPr="00357DC2" w:rsidRDefault="00520396" w:rsidP="00357DC2">
      <w:pPr>
        <w:pStyle w:val="ECHRPara"/>
        <w:keepNext/>
        <w:keepLines/>
        <w:rPr>
          <w:rFonts w:ascii="Times New Roman" w:eastAsia="Times New Roman" w:hAnsi="Times New Roman" w:cs="Times New Roman"/>
          <w:szCs w:val="24"/>
          <w:lang w:val="fr-FR"/>
        </w:rPr>
      </w:pPr>
      <w:r w:rsidRPr="00357DC2">
        <w:rPr>
          <w:lang w:val="fr-FR"/>
        </w:rPr>
        <w:lastRenderedPageBreak/>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11</w:t>
      </w:r>
      <w:r w:rsidRPr="00357DC2">
        <w:rPr>
          <w:lang w:val="fr-FR"/>
        </w:rPr>
        <w:fldChar w:fldCharType="end"/>
      </w:r>
      <w:r w:rsidRPr="00357DC2">
        <w:rPr>
          <w:lang w:val="fr-FR"/>
        </w:rPr>
        <w:t>.  La Cour estima que, même si les juridictions p</w:t>
      </w:r>
      <w:r w:rsidR="00E77642" w:rsidRPr="00357DC2">
        <w:rPr>
          <w:lang w:val="fr-FR"/>
        </w:rPr>
        <w:t>ouvai</w:t>
      </w:r>
      <w:r w:rsidRPr="00357DC2">
        <w:rPr>
          <w:lang w:val="fr-FR"/>
        </w:rPr>
        <w:t xml:space="preserve">ent requalifier les faits dont elles </w:t>
      </w:r>
      <w:r w:rsidR="00E77642" w:rsidRPr="00357DC2">
        <w:rPr>
          <w:lang w:val="fr-FR"/>
        </w:rPr>
        <w:t xml:space="preserve">étaient </w:t>
      </w:r>
      <w:r w:rsidRPr="00357DC2">
        <w:rPr>
          <w:lang w:val="fr-FR"/>
        </w:rPr>
        <w:t>saisies, il n</w:t>
      </w:r>
      <w:r w:rsidR="00357DC2" w:rsidRPr="00357DC2">
        <w:rPr>
          <w:lang w:val="fr-FR"/>
        </w:rPr>
        <w:t>’</w:t>
      </w:r>
      <w:r w:rsidR="00E77642" w:rsidRPr="00357DC2">
        <w:rPr>
          <w:lang w:val="fr-FR"/>
        </w:rPr>
        <w:t>avait</w:t>
      </w:r>
      <w:r w:rsidRPr="00357DC2">
        <w:rPr>
          <w:lang w:val="fr-FR"/>
        </w:rPr>
        <w:t xml:space="preserve"> pas </w:t>
      </w:r>
      <w:r w:rsidR="00E77642" w:rsidRPr="00357DC2">
        <w:rPr>
          <w:lang w:val="fr-FR"/>
        </w:rPr>
        <w:t xml:space="preserve">été </w:t>
      </w:r>
      <w:r w:rsidRPr="00357DC2">
        <w:rPr>
          <w:lang w:val="fr-FR"/>
        </w:rPr>
        <w:t xml:space="preserve">établi </w:t>
      </w:r>
      <w:r w:rsidR="004B6D98" w:rsidRPr="00357DC2">
        <w:rPr>
          <w:lang w:val="fr-FR"/>
        </w:rPr>
        <w:t>en l</w:t>
      </w:r>
      <w:r w:rsidR="00357DC2" w:rsidRPr="00357DC2">
        <w:rPr>
          <w:lang w:val="fr-FR"/>
        </w:rPr>
        <w:t>’</w:t>
      </w:r>
      <w:r w:rsidR="004B6D98" w:rsidRPr="00357DC2">
        <w:rPr>
          <w:lang w:val="fr-FR"/>
        </w:rPr>
        <w:t xml:space="preserve">espèce </w:t>
      </w:r>
      <w:r w:rsidRPr="00357DC2">
        <w:rPr>
          <w:lang w:val="fr-FR"/>
        </w:rPr>
        <w:t xml:space="preserve">que le requérant </w:t>
      </w:r>
      <w:r w:rsidR="00E77642" w:rsidRPr="00357DC2">
        <w:rPr>
          <w:lang w:val="fr-FR"/>
        </w:rPr>
        <w:t>eût</w:t>
      </w:r>
      <w:r w:rsidRPr="00357DC2">
        <w:rPr>
          <w:lang w:val="fr-FR"/>
        </w:rPr>
        <w:t xml:space="preserve"> été averti de la possibilité d</w:t>
      </w:r>
      <w:r w:rsidR="00357DC2" w:rsidRPr="00357DC2">
        <w:rPr>
          <w:lang w:val="fr-FR"/>
        </w:rPr>
        <w:t>’</w:t>
      </w:r>
      <w:r w:rsidRPr="00357DC2">
        <w:rPr>
          <w:lang w:val="fr-FR"/>
        </w:rPr>
        <w:t>une requalification de l</w:t>
      </w:r>
      <w:r w:rsidR="00357DC2" w:rsidRPr="00357DC2">
        <w:rPr>
          <w:lang w:val="fr-FR"/>
        </w:rPr>
        <w:t>’</w:t>
      </w:r>
      <w:r w:rsidRPr="00357DC2">
        <w:rPr>
          <w:lang w:val="fr-FR"/>
        </w:rPr>
        <w:t>accusation portée contre lui, ni qu</w:t>
      </w:r>
      <w:r w:rsidR="00357DC2" w:rsidRPr="00357DC2">
        <w:rPr>
          <w:lang w:val="fr-FR"/>
        </w:rPr>
        <w:t>’</w:t>
      </w:r>
      <w:r w:rsidRPr="00357DC2">
        <w:rPr>
          <w:lang w:val="fr-FR"/>
        </w:rPr>
        <w:t xml:space="preserve">il </w:t>
      </w:r>
      <w:r w:rsidR="00E77642" w:rsidRPr="00357DC2">
        <w:rPr>
          <w:lang w:val="fr-FR"/>
        </w:rPr>
        <w:t>eût</w:t>
      </w:r>
      <w:r w:rsidRPr="00357DC2">
        <w:rPr>
          <w:lang w:val="fr-FR"/>
        </w:rPr>
        <w:t xml:space="preserve"> eu la possibilité de débattre contradictoirement de la nouvelle accusation. </w:t>
      </w:r>
      <w:r w:rsidR="00E77642" w:rsidRPr="00357DC2">
        <w:rPr>
          <w:lang w:val="fr-FR"/>
        </w:rPr>
        <w:t>Elle indiqua que, s</w:t>
      </w:r>
      <w:r w:rsidR="00357DC2" w:rsidRPr="00357DC2">
        <w:rPr>
          <w:lang w:val="fr-FR"/>
        </w:rPr>
        <w:t>’</w:t>
      </w:r>
      <w:r w:rsidRPr="00357DC2">
        <w:rPr>
          <w:lang w:val="fr-FR"/>
        </w:rPr>
        <w:t xml:space="preserve">il </w:t>
      </w:r>
      <w:r w:rsidR="00E77642" w:rsidRPr="00357DC2">
        <w:rPr>
          <w:lang w:val="fr-FR"/>
        </w:rPr>
        <w:t>était</w:t>
      </w:r>
      <w:r w:rsidRPr="00357DC2">
        <w:rPr>
          <w:lang w:val="fr-FR"/>
        </w:rPr>
        <w:t xml:space="preserve"> vrai que </w:t>
      </w:r>
      <w:r w:rsidRPr="00357DC2">
        <w:rPr>
          <w:rFonts w:ascii="Times New Roman" w:eastAsia="Times New Roman" w:hAnsi="Times New Roman" w:cs="Times New Roman"/>
          <w:szCs w:val="24"/>
          <w:lang w:val="fr-FR"/>
        </w:rPr>
        <w:t>l</w:t>
      </w:r>
      <w:r w:rsidR="00357DC2" w:rsidRPr="00357DC2">
        <w:rPr>
          <w:rFonts w:ascii="Times New Roman" w:eastAsia="Times New Roman" w:hAnsi="Times New Roman" w:cs="Times New Roman"/>
          <w:szCs w:val="24"/>
          <w:lang w:val="fr-FR"/>
        </w:rPr>
        <w:t>’</w:t>
      </w:r>
      <w:r w:rsidRPr="00357DC2">
        <w:rPr>
          <w:rFonts w:ascii="Times New Roman" w:eastAsia="Times New Roman" w:hAnsi="Times New Roman" w:cs="Times New Roman"/>
          <w:szCs w:val="24"/>
          <w:lang w:val="fr-FR"/>
        </w:rPr>
        <w:t xml:space="preserve">élément matériel des deux délits en cause était le même, à savoir la commission </w:t>
      </w:r>
      <w:r w:rsidR="00E77642" w:rsidRPr="00357DC2">
        <w:rPr>
          <w:rFonts w:ascii="Times New Roman" w:eastAsia="Times New Roman" w:hAnsi="Times New Roman" w:cs="Times New Roman"/>
          <w:szCs w:val="24"/>
          <w:lang w:val="fr-FR"/>
        </w:rPr>
        <w:t xml:space="preserve">par un fonctionnaire public </w:t>
      </w:r>
      <w:r w:rsidRPr="00357DC2">
        <w:rPr>
          <w:rFonts w:ascii="Times New Roman" w:eastAsia="Times New Roman" w:hAnsi="Times New Roman" w:cs="Times New Roman"/>
          <w:szCs w:val="24"/>
          <w:lang w:val="fr-FR"/>
        </w:rPr>
        <w:t>d</w:t>
      </w:r>
      <w:r w:rsidR="00357DC2" w:rsidRPr="00357DC2">
        <w:rPr>
          <w:rFonts w:ascii="Times New Roman" w:eastAsia="Times New Roman" w:hAnsi="Times New Roman" w:cs="Times New Roman"/>
          <w:szCs w:val="24"/>
          <w:lang w:val="fr-FR"/>
        </w:rPr>
        <w:t>’</w:t>
      </w:r>
      <w:r w:rsidRPr="00357DC2">
        <w:rPr>
          <w:rFonts w:ascii="Times New Roman" w:eastAsia="Times New Roman" w:hAnsi="Times New Roman" w:cs="Times New Roman"/>
          <w:szCs w:val="24"/>
          <w:lang w:val="fr-FR"/>
        </w:rPr>
        <w:t xml:space="preserve">actes contraires </w:t>
      </w:r>
      <w:r w:rsidR="00E77642" w:rsidRPr="00357DC2">
        <w:rPr>
          <w:rFonts w:ascii="Times New Roman" w:eastAsia="Times New Roman" w:hAnsi="Times New Roman" w:cs="Times New Roman"/>
          <w:szCs w:val="24"/>
          <w:lang w:val="fr-FR"/>
        </w:rPr>
        <w:t xml:space="preserve">à ses </w:t>
      </w:r>
      <w:r w:rsidRPr="00357DC2">
        <w:rPr>
          <w:rFonts w:ascii="Times New Roman" w:eastAsia="Times New Roman" w:hAnsi="Times New Roman" w:cs="Times New Roman"/>
          <w:szCs w:val="24"/>
          <w:lang w:val="fr-FR"/>
        </w:rPr>
        <w:t xml:space="preserve">devoirs dans le but de percevoir des bénéfices, le délit de corruption dans des actes judiciaires nécessitait </w:t>
      </w:r>
      <w:r w:rsidR="00E77642" w:rsidRPr="00357DC2">
        <w:rPr>
          <w:rFonts w:ascii="Times New Roman" w:eastAsia="Times New Roman" w:hAnsi="Times New Roman" w:cs="Times New Roman"/>
          <w:szCs w:val="24"/>
          <w:lang w:val="fr-FR"/>
        </w:rPr>
        <w:t>en outre l</w:t>
      </w:r>
      <w:r w:rsidR="00357DC2" w:rsidRPr="00357DC2">
        <w:rPr>
          <w:rFonts w:ascii="Times New Roman" w:eastAsia="Times New Roman" w:hAnsi="Times New Roman" w:cs="Times New Roman"/>
          <w:szCs w:val="24"/>
          <w:lang w:val="fr-FR"/>
        </w:rPr>
        <w:t>’</w:t>
      </w:r>
      <w:r w:rsidR="00E77642" w:rsidRPr="00357DC2">
        <w:rPr>
          <w:rFonts w:ascii="Times New Roman" w:eastAsia="Times New Roman" w:hAnsi="Times New Roman" w:cs="Times New Roman"/>
          <w:szCs w:val="24"/>
          <w:lang w:val="fr-FR"/>
        </w:rPr>
        <w:t>existence</w:t>
      </w:r>
      <w:r w:rsidRPr="00357DC2">
        <w:rPr>
          <w:rFonts w:ascii="Times New Roman" w:eastAsia="Times New Roman" w:hAnsi="Times New Roman" w:cs="Times New Roman"/>
          <w:szCs w:val="24"/>
          <w:lang w:val="fr-FR"/>
        </w:rPr>
        <w:t xml:space="preserve"> d</w:t>
      </w:r>
      <w:r w:rsidR="00357DC2" w:rsidRPr="00357DC2">
        <w:rPr>
          <w:rFonts w:ascii="Times New Roman" w:eastAsia="Times New Roman" w:hAnsi="Times New Roman" w:cs="Times New Roman"/>
          <w:szCs w:val="24"/>
          <w:lang w:val="fr-FR"/>
        </w:rPr>
        <w:t>’</w:t>
      </w:r>
      <w:r w:rsidRPr="00357DC2">
        <w:rPr>
          <w:rFonts w:ascii="Times New Roman" w:eastAsia="Times New Roman" w:hAnsi="Times New Roman" w:cs="Times New Roman"/>
          <w:szCs w:val="24"/>
          <w:lang w:val="fr-FR"/>
        </w:rPr>
        <w:t xml:space="preserve">un élément intentionnel spécifique. Il était dès lors plausible de soutenir que les moyens de défense auraient été différents de ceux choisis </w:t>
      </w:r>
      <w:r w:rsidR="00E77642" w:rsidRPr="00357DC2">
        <w:rPr>
          <w:rFonts w:ascii="Times New Roman" w:eastAsia="Times New Roman" w:hAnsi="Times New Roman" w:cs="Times New Roman"/>
          <w:szCs w:val="24"/>
          <w:lang w:val="fr-FR"/>
        </w:rPr>
        <w:t>pour</w:t>
      </w:r>
      <w:r w:rsidRPr="00357DC2">
        <w:rPr>
          <w:rFonts w:ascii="Times New Roman" w:eastAsia="Times New Roman" w:hAnsi="Times New Roman" w:cs="Times New Roman"/>
          <w:szCs w:val="24"/>
          <w:lang w:val="fr-FR"/>
        </w:rPr>
        <w:t xml:space="preserve"> contester l</w:t>
      </w:r>
      <w:r w:rsidR="00357DC2" w:rsidRPr="00357DC2">
        <w:rPr>
          <w:rFonts w:ascii="Times New Roman" w:eastAsia="Times New Roman" w:hAnsi="Times New Roman" w:cs="Times New Roman"/>
          <w:szCs w:val="24"/>
          <w:lang w:val="fr-FR"/>
        </w:rPr>
        <w:t>’</w:t>
      </w:r>
      <w:r w:rsidRPr="00357DC2">
        <w:rPr>
          <w:rFonts w:ascii="Times New Roman" w:eastAsia="Times New Roman" w:hAnsi="Times New Roman" w:cs="Times New Roman"/>
          <w:szCs w:val="24"/>
          <w:lang w:val="fr-FR"/>
        </w:rPr>
        <w:t>action principale.</w:t>
      </w:r>
    </w:p>
    <w:p w:rsidR="00520396" w:rsidRPr="00357DC2" w:rsidRDefault="00520396" w:rsidP="00357DC2">
      <w:pPr>
        <w:pStyle w:val="ECHRPara"/>
        <w:rPr>
          <w:rFonts w:ascii="Times New Roman" w:eastAsia="Times New Roman" w:hAnsi="Times New Roman" w:cs="Times New Roman"/>
          <w:szCs w:val="24"/>
          <w:lang w:val="fr-FR"/>
        </w:rPr>
      </w:pPr>
      <w:r w:rsidRPr="00357DC2">
        <w:rPr>
          <w:rFonts w:ascii="Times New Roman" w:eastAsia="Times New Roman" w:hAnsi="Times New Roman" w:cs="Times New Roman"/>
          <w:szCs w:val="24"/>
          <w:lang w:val="fr-FR"/>
        </w:rPr>
        <w:fldChar w:fldCharType="begin"/>
      </w:r>
      <w:r w:rsidRPr="00357DC2">
        <w:rPr>
          <w:rFonts w:ascii="Times New Roman" w:eastAsia="Times New Roman" w:hAnsi="Times New Roman" w:cs="Times New Roman"/>
          <w:szCs w:val="24"/>
          <w:lang w:val="fr-FR"/>
        </w:rPr>
        <w:instrText xml:space="preserve"> SEQ level0 \*arabic </w:instrText>
      </w:r>
      <w:r w:rsidRPr="00357DC2">
        <w:rPr>
          <w:rFonts w:ascii="Times New Roman" w:eastAsia="Times New Roman" w:hAnsi="Times New Roman" w:cs="Times New Roman"/>
          <w:szCs w:val="24"/>
          <w:lang w:val="fr-FR"/>
        </w:rPr>
        <w:fldChar w:fldCharType="separate"/>
      </w:r>
      <w:r w:rsidR="00357DC2" w:rsidRPr="00357DC2">
        <w:rPr>
          <w:rFonts w:ascii="Times New Roman" w:eastAsia="Times New Roman" w:hAnsi="Times New Roman" w:cs="Times New Roman"/>
          <w:noProof/>
          <w:szCs w:val="24"/>
          <w:lang w:val="fr-FR"/>
        </w:rPr>
        <w:t>12</w:t>
      </w:r>
      <w:r w:rsidRPr="00357DC2">
        <w:rPr>
          <w:rFonts w:ascii="Times New Roman" w:eastAsia="Times New Roman" w:hAnsi="Times New Roman" w:cs="Times New Roman"/>
          <w:szCs w:val="24"/>
          <w:lang w:val="fr-FR"/>
        </w:rPr>
        <w:fldChar w:fldCharType="end"/>
      </w:r>
      <w:r w:rsidRPr="00357DC2">
        <w:rPr>
          <w:rFonts w:ascii="Times New Roman" w:eastAsia="Times New Roman" w:hAnsi="Times New Roman" w:cs="Times New Roman"/>
          <w:szCs w:val="24"/>
          <w:lang w:val="fr-FR"/>
        </w:rPr>
        <w:t>.  Enfin, au sujet des répercussions de la nouvelle accusation sur la détermination de la peine du requérant, la Cour ne souscrivit pas à la thèse selon laquelle la modification de l</w:t>
      </w:r>
      <w:r w:rsidR="00357DC2" w:rsidRPr="00357DC2">
        <w:rPr>
          <w:rFonts w:ascii="Times New Roman" w:eastAsia="Times New Roman" w:hAnsi="Times New Roman" w:cs="Times New Roman"/>
          <w:szCs w:val="24"/>
          <w:lang w:val="fr-FR"/>
        </w:rPr>
        <w:t>’</w:t>
      </w:r>
      <w:r w:rsidRPr="00357DC2">
        <w:rPr>
          <w:rFonts w:ascii="Times New Roman" w:eastAsia="Times New Roman" w:hAnsi="Times New Roman" w:cs="Times New Roman"/>
          <w:szCs w:val="24"/>
          <w:lang w:val="fr-FR"/>
        </w:rPr>
        <w:t>accusation avait été sans incidence sur la détermination de la peine prononcée à l</w:t>
      </w:r>
      <w:r w:rsidR="00357DC2" w:rsidRPr="00357DC2">
        <w:rPr>
          <w:rFonts w:ascii="Times New Roman" w:eastAsia="Times New Roman" w:hAnsi="Times New Roman" w:cs="Times New Roman"/>
          <w:szCs w:val="24"/>
          <w:lang w:val="fr-FR"/>
        </w:rPr>
        <w:t>’</w:t>
      </w:r>
      <w:r w:rsidRPr="00357DC2">
        <w:rPr>
          <w:rFonts w:ascii="Times New Roman" w:eastAsia="Times New Roman" w:hAnsi="Times New Roman" w:cs="Times New Roman"/>
          <w:szCs w:val="24"/>
          <w:lang w:val="fr-FR"/>
        </w:rPr>
        <w:t>encontre du requérant.</w:t>
      </w:r>
    </w:p>
    <w:p w:rsidR="00520396" w:rsidRPr="00357DC2" w:rsidRDefault="00520396" w:rsidP="00357DC2">
      <w:pPr>
        <w:pStyle w:val="ECHRPara"/>
        <w:rPr>
          <w:rFonts w:ascii="Times New Roman" w:eastAsia="Times New Roman" w:hAnsi="Times New Roman" w:cs="Times New Roman"/>
          <w:szCs w:val="24"/>
          <w:lang w:val="fr-FR"/>
        </w:rPr>
      </w:pPr>
      <w:r w:rsidRPr="00357DC2">
        <w:rPr>
          <w:rFonts w:ascii="Times New Roman" w:eastAsia="Times New Roman" w:hAnsi="Times New Roman" w:cs="Times New Roman"/>
          <w:szCs w:val="24"/>
          <w:lang w:val="fr-FR"/>
        </w:rPr>
        <w:fldChar w:fldCharType="begin"/>
      </w:r>
      <w:r w:rsidRPr="00357DC2">
        <w:rPr>
          <w:rFonts w:ascii="Times New Roman" w:eastAsia="Times New Roman" w:hAnsi="Times New Roman" w:cs="Times New Roman"/>
          <w:szCs w:val="24"/>
          <w:lang w:val="fr-FR"/>
        </w:rPr>
        <w:instrText xml:space="preserve"> SEQ level0 \*arabic </w:instrText>
      </w:r>
      <w:r w:rsidRPr="00357DC2">
        <w:rPr>
          <w:rFonts w:ascii="Times New Roman" w:eastAsia="Times New Roman" w:hAnsi="Times New Roman" w:cs="Times New Roman"/>
          <w:szCs w:val="24"/>
          <w:lang w:val="fr-FR"/>
        </w:rPr>
        <w:fldChar w:fldCharType="separate"/>
      </w:r>
      <w:r w:rsidR="00357DC2" w:rsidRPr="00357DC2">
        <w:rPr>
          <w:rFonts w:ascii="Times New Roman" w:eastAsia="Times New Roman" w:hAnsi="Times New Roman" w:cs="Times New Roman"/>
          <w:noProof/>
          <w:szCs w:val="24"/>
          <w:lang w:val="fr-FR"/>
        </w:rPr>
        <w:t>13</w:t>
      </w:r>
      <w:r w:rsidRPr="00357DC2">
        <w:rPr>
          <w:rFonts w:ascii="Times New Roman" w:eastAsia="Times New Roman" w:hAnsi="Times New Roman" w:cs="Times New Roman"/>
          <w:szCs w:val="24"/>
          <w:lang w:val="fr-FR"/>
        </w:rPr>
        <w:fldChar w:fldCharType="end"/>
      </w:r>
      <w:r w:rsidRPr="00357DC2">
        <w:rPr>
          <w:rFonts w:ascii="Times New Roman" w:eastAsia="Times New Roman" w:hAnsi="Times New Roman" w:cs="Times New Roman"/>
          <w:szCs w:val="24"/>
          <w:lang w:val="fr-FR"/>
        </w:rPr>
        <w:t>.  Statuant sur l</w:t>
      </w:r>
      <w:r w:rsidR="00357DC2" w:rsidRPr="00357DC2">
        <w:rPr>
          <w:rFonts w:ascii="Times New Roman" w:eastAsia="Times New Roman" w:hAnsi="Times New Roman" w:cs="Times New Roman"/>
          <w:szCs w:val="24"/>
          <w:lang w:val="fr-FR"/>
        </w:rPr>
        <w:t>’</w:t>
      </w:r>
      <w:r w:rsidRPr="00357DC2">
        <w:rPr>
          <w:rFonts w:ascii="Times New Roman" w:eastAsia="Times New Roman" w:hAnsi="Times New Roman" w:cs="Times New Roman"/>
          <w:szCs w:val="24"/>
          <w:lang w:val="fr-FR"/>
        </w:rPr>
        <w:t>application de l</w:t>
      </w:r>
      <w:r w:rsidR="00357DC2" w:rsidRPr="00357DC2">
        <w:rPr>
          <w:rFonts w:ascii="Times New Roman" w:eastAsia="Times New Roman" w:hAnsi="Times New Roman" w:cs="Times New Roman"/>
          <w:szCs w:val="24"/>
          <w:lang w:val="fr-FR"/>
        </w:rPr>
        <w:t>’</w:t>
      </w:r>
      <w:r w:rsidRPr="00357DC2">
        <w:rPr>
          <w:rFonts w:ascii="Times New Roman" w:eastAsia="Times New Roman" w:hAnsi="Times New Roman" w:cs="Times New Roman"/>
          <w:szCs w:val="24"/>
          <w:lang w:val="fr-FR"/>
        </w:rPr>
        <w:t>article 41 de la Convention, la Cour n</w:t>
      </w:r>
      <w:r w:rsidR="00357DC2" w:rsidRPr="00357DC2">
        <w:rPr>
          <w:rFonts w:ascii="Times New Roman" w:eastAsia="Times New Roman" w:hAnsi="Times New Roman" w:cs="Times New Roman"/>
          <w:szCs w:val="24"/>
          <w:lang w:val="fr-FR"/>
        </w:rPr>
        <w:t>’</w:t>
      </w:r>
      <w:r w:rsidRPr="00357DC2">
        <w:rPr>
          <w:rFonts w:ascii="Times New Roman" w:eastAsia="Times New Roman" w:hAnsi="Times New Roman" w:cs="Times New Roman"/>
          <w:szCs w:val="24"/>
          <w:lang w:val="fr-FR"/>
        </w:rPr>
        <w:t>accorda aucune somme au requérant, ce dernier n</w:t>
      </w:r>
      <w:r w:rsidR="00357DC2" w:rsidRPr="00357DC2">
        <w:rPr>
          <w:rFonts w:ascii="Times New Roman" w:eastAsia="Times New Roman" w:hAnsi="Times New Roman" w:cs="Times New Roman"/>
          <w:szCs w:val="24"/>
          <w:lang w:val="fr-FR"/>
        </w:rPr>
        <w:t>’</w:t>
      </w:r>
      <w:r w:rsidRPr="00357DC2">
        <w:rPr>
          <w:rFonts w:ascii="Times New Roman" w:eastAsia="Times New Roman" w:hAnsi="Times New Roman" w:cs="Times New Roman"/>
          <w:szCs w:val="24"/>
          <w:lang w:val="fr-FR"/>
        </w:rPr>
        <w:t>a</w:t>
      </w:r>
      <w:r w:rsidR="004B6D98" w:rsidRPr="00357DC2">
        <w:rPr>
          <w:rFonts w:ascii="Times New Roman" w:eastAsia="Times New Roman" w:hAnsi="Times New Roman" w:cs="Times New Roman"/>
          <w:szCs w:val="24"/>
          <w:lang w:val="fr-FR"/>
        </w:rPr>
        <w:t>yan</w:t>
      </w:r>
      <w:r w:rsidRPr="00357DC2">
        <w:rPr>
          <w:rFonts w:ascii="Times New Roman" w:eastAsia="Times New Roman" w:hAnsi="Times New Roman" w:cs="Times New Roman"/>
          <w:szCs w:val="24"/>
          <w:lang w:val="fr-FR"/>
        </w:rPr>
        <w:t>t pas formulé de demande dans le délai imparti. Toutefois, elle indiqua que, lorsqu</w:t>
      </w:r>
      <w:r w:rsidR="00357DC2" w:rsidRPr="00357DC2">
        <w:rPr>
          <w:rFonts w:ascii="Times New Roman" w:eastAsia="Times New Roman" w:hAnsi="Times New Roman" w:cs="Times New Roman"/>
          <w:szCs w:val="24"/>
          <w:lang w:val="fr-FR"/>
        </w:rPr>
        <w:t>’</w:t>
      </w:r>
      <w:r w:rsidRPr="00357DC2">
        <w:rPr>
          <w:rFonts w:ascii="Times New Roman" w:eastAsia="Times New Roman" w:hAnsi="Times New Roman" w:cs="Times New Roman"/>
          <w:szCs w:val="24"/>
          <w:lang w:val="fr-FR"/>
        </w:rPr>
        <w:t xml:space="preserve">elle </w:t>
      </w:r>
      <w:r w:rsidRPr="00357DC2">
        <w:rPr>
          <w:lang w:val="fr-FR"/>
        </w:rPr>
        <w:t>conclu</w:t>
      </w:r>
      <w:r w:rsidR="004B6D98" w:rsidRPr="00357DC2">
        <w:rPr>
          <w:lang w:val="fr-FR"/>
        </w:rPr>
        <w:t>ait</w:t>
      </w:r>
      <w:r w:rsidRPr="00357DC2">
        <w:rPr>
          <w:lang w:val="fr-FR"/>
        </w:rPr>
        <w:t xml:space="preserve"> qu</w:t>
      </w:r>
      <w:r w:rsidR="00357DC2" w:rsidRPr="00357DC2">
        <w:rPr>
          <w:lang w:val="fr-FR"/>
        </w:rPr>
        <w:t>’</w:t>
      </w:r>
      <w:r w:rsidRPr="00357DC2">
        <w:rPr>
          <w:lang w:val="fr-FR"/>
        </w:rPr>
        <w:t>un particulier a</w:t>
      </w:r>
      <w:r w:rsidR="004B6D98" w:rsidRPr="00357DC2">
        <w:rPr>
          <w:lang w:val="fr-FR"/>
        </w:rPr>
        <w:t>vait</w:t>
      </w:r>
      <w:r w:rsidRPr="00357DC2">
        <w:rPr>
          <w:lang w:val="fr-FR"/>
        </w:rPr>
        <w:t xml:space="preserve"> été condamné à l</w:t>
      </w:r>
      <w:r w:rsidR="00357DC2" w:rsidRPr="00357DC2">
        <w:rPr>
          <w:lang w:val="fr-FR"/>
        </w:rPr>
        <w:t>’</w:t>
      </w:r>
      <w:r w:rsidRPr="00357DC2">
        <w:rPr>
          <w:lang w:val="fr-FR"/>
        </w:rPr>
        <w:t>issue d</w:t>
      </w:r>
      <w:r w:rsidR="00357DC2" w:rsidRPr="00357DC2">
        <w:rPr>
          <w:lang w:val="fr-FR"/>
        </w:rPr>
        <w:t>’</w:t>
      </w:r>
      <w:r w:rsidRPr="00357DC2">
        <w:rPr>
          <w:lang w:val="fr-FR"/>
        </w:rPr>
        <w:t>une procédure entachée de manquements aux exigences de l</w:t>
      </w:r>
      <w:r w:rsidR="00357DC2" w:rsidRPr="00357DC2">
        <w:rPr>
          <w:lang w:val="fr-FR"/>
        </w:rPr>
        <w:t>’</w:t>
      </w:r>
      <w:r w:rsidRPr="00357DC2">
        <w:rPr>
          <w:lang w:val="fr-FR"/>
        </w:rPr>
        <w:t>article 6 de la Convention, un nouveau procès ou une réouverture de la procédure, à la demande de l</w:t>
      </w:r>
      <w:r w:rsidR="00357DC2" w:rsidRPr="00357DC2">
        <w:rPr>
          <w:lang w:val="fr-FR"/>
        </w:rPr>
        <w:t>’</w:t>
      </w:r>
      <w:r w:rsidRPr="00357DC2">
        <w:rPr>
          <w:lang w:val="fr-FR"/>
        </w:rPr>
        <w:t>intéressé, représent</w:t>
      </w:r>
      <w:r w:rsidR="004B6D98" w:rsidRPr="00357DC2">
        <w:rPr>
          <w:lang w:val="fr-FR"/>
        </w:rPr>
        <w:t>ait</w:t>
      </w:r>
      <w:r w:rsidRPr="00357DC2">
        <w:rPr>
          <w:lang w:val="fr-FR"/>
        </w:rPr>
        <w:t xml:space="preserve"> en principe un moyen approprié de redresser la violation constatée.</w:t>
      </w:r>
    </w:p>
    <w:p w:rsidR="00520396" w:rsidRPr="00357DC2" w:rsidRDefault="00FA1201" w:rsidP="00357DC2">
      <w:pPr>
        <w:pStyle w:val="ECHRHeading2"/>
        <w:rPr>
          <w:lang w:val="fr-FR"/>
        </w:rPr>
      </w:pPr>
      <w:r w:rsidRPr="00357DC2">
        <w:rPr>
          <w:lang w:val="fr-FR"/>
        </w:rPr>
        <w:t>B</w:t>
      </w:r>
      <w:r w:rsidR="00520396" w:rsidRPr="00357DC2">
        <w:rPr>
          <w:lang w:val="fr-FR"/>
        </w:rPr>
        <w:t>.  La résolution du Comité des Ministres du Conseil de l</w:t>
      </w:r>
      <w:r w:rsidR="00357DC2" w:rsidRPr="00357DC2">
        <w:rPr>
          <w:lang w:val="fr-FR"/>
        </w:rPr>
        <w:t>’</w:t>
      </w:r>
      <w:r w:rsidR="00520396" w:rsidRPr="00357DC2">
        <w:rPr>
          <w:lang w:val="fr-FR"/>
        </w:rPr>
        <w:t>Europe du 30 septembre 2009</w:t>
      </w:r>
    </w:p>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14</w:t>
      </w:r>
      <w:r w:rsidRPr="00357DC2">
        <w:rPr>
          <w:lang w:val="fr-FR"/>
        </w:rPr>
        <w:fldChar w:fldCharType="end"/>
      </w:r>
      <w:r w:rsidRPr="00357DC2">
        <w:rPr>
          <w:lang w:val="fr-FR"/>
        </w:rPr>
        <w:t>.  Le Comité des Ministres du Conseil de l</w:t>
      </w:r>
      <w:r w:rsidR="00357DC2" w:rsidRPr="00357DC2">
        <w:rPr>
          <w:lang w:val="fr-FR"/>
        </w:rPr>
        <w:t>’</w:t>
      </w:r>
      <w:r w:rsidRPr="00357DC2">
        <w:rPr>
          <w:lang w:val="fr-FR"/>
        </w:rPr>
        <w:t>Europe mit fin à l</w:t>
      </w:r>
      <w:r w:rsidR="00357DC2" w:rsidRPr="00357DC2">
        <w:rPr>
          <w:lang w:val="fr-FR"/>
        </w:rPr>
        <w:t>’</w:t>
      </w:r>
      <w:r w:rsidRPr="00357DC2">
        <w:rPr>
          <w:lang w:val="fr-FR"/>
        </w:rPr>
        <w:t>examen de la requête n</w:t>
      </w:r>
      <w:r w:rsidRPr="00357DC2">
        <w:rPr>
          <w:vertAlign w:val="superscript"/>
          <w:lang w:val="fr-FR"/>
        </w:rPr>
        <w:t>o</w:t>
      </w:r>
      <w:r w:rsidRPr="00357DC2">
        <w:rPr>
          <w:lang w:val="fr-FR"/>
        </w:rPr>
        <w:t xml:space="preserve"> 25575/04 en adoptant, le 30 septembre 2009, la Résolution ResDH(2009)87, dont les passages pertinents se lisent ainsi :</w:t>
      </w:r>
    </w:p>
    <w:p w:rsidR="00520396" w:rsidRPr="00357DC2" w:rsidRDefault="00520396" w:rsidP="00357DC2">
      <w:pPr>
        <w:pStyle w:val="ECHRParaQuote"/>
        <w:rPr>
          <w:lang w:val="fr-FR"/>
        </w:rPr>
      </w:pPr>
      <w:r w:rsidRPr="00357DC2">
        <w:rPr>
          <w:lang w:val="fr-FR"/>
        </w:rPr>
        <w:t>« (...) en vertu de l</w:t>
      </w:r>
      <w:r w:rsidR="00357DC2" w:rsidRPr="00357DC2">
        <w:rPr>
          <w:lang w:val="fr-FR"/>
        </w:rPr>
        <w:t>’</w:t>
      </w:r>
      <w:r w:rsidRPr="00357DC2">
        <w:rPr>
          <w:lang w:val="fr-FR"/>
        </w:rPr>
        <w:t xml:space="preserve">article 46 paragraphe 2 de la Convention </w:t>
      </w:r>
      <w:r w:rsidR="009A185E" w:rsidRPr="00357DC2">
        <w:rPr>
          <w:lang w:val="fr-FR"/>
        </w:rPr>
        <w:t>(</w:t>
      </w:r>
      <w:r w:rsidRPr="00357DC2">
        <w:rPr>
          <w:lang w:val="fr-FR"/>
        </w:rPr>
        <w:t>...</w:t>
      </w:r>
      <w:r w:rsidR="009A185E" w:rsidRPr="00357DC2">
        <w:rPr>
          <w:lang w:val="fr-FR"/>
        </w:rPr>
        <w:t>)</w:t>
      </w:r>
    </w:p>
    <w:p w:rsidR="00520396" w:rsidRPr="00357DC2" w:rsidRDefault="00520396" w:rsidP="00357DC2">
      <w:pPr>
        <w:pStyle w:val="ECHRParaQuote"/>
        <w:rPr>
          <w:lang w:val="fr-FR"/>
        </w:rPr>
      </w:pPr>
      <w:r w:rsidRPr="00357DC2">
        <w:rPr>
          <w:lang w:val="fr-FR"/>
        </w:rPr>
        <w:t>Vu l</w:t>
      </w:r>
      <w:r w:rsidR="00357DC2" w:rsidRPr="00357DC2">
        <w:rPr>
          <w:lang w:val="fr-FR"/>
        </w:rPr>
        <w:t>’</w:t>
      </w:r>
      <w:r w:rsidRPr="00357DC2">
        <w:rPr>
          <w:lang w:val="fr-FR"/>
        </w:rPr>
        <w:t>arrêt transmis par la Cour une fois définitif ;</w:t>
      </w:r>
    </w:p>
    <w:p w:rsidR="00520396" w:rsidRPr="00357DC2" w:rsidRDefault="00520396" w:rsidP="00357DC2">
      <w:pPr>
        <w:pStyle w:val="ECHRParaQuote"/>
        <w:rPr>
          <w:lang w:val="fr-FR"/>
        </w:rPr>
      </w:pPr>
      <w:r w:rsidRPr="00357DC2">
        <w:rPr>
          <w:lang w:val="fr-FR"/>
        </w:rPr>
        <w:t>Rappelant que les violations de la Convention constatées par la Cour dans cette affaire concernent une atteinte au droit à être informé d</w:t>
      </w:r>
      <w:r w:rsidR="00357DC2" w:rsidRPr="00357DC2">
        <w:rPr>
          <w:lang w:val="fr-FR"/>
        </w:rPr>
        <w:t>’</w:t>
      </w:r>
      <w:r w:rsidRPr="00357DC2">
        <w:rPr>
          <w:lang w:val="fr-FR"/>
        </w:rPr>
        <w:t>une manière détaillée de la nature et de la cause de l</w:t>
      </w:r>
      <w:r w:rsidR="00357DC2" w:rsidRPr="00357DC2">
        <w:rPr>
          <w:lang w:val="fr-FR"/>
        </w:rPr>
        <w:t>’</w:t>
      </w:r>
      <w:r w:rsidRPr="00357DC2">
        <w:rPr>
          <w:lang w:val="fr-FR"/>
        </w:rPr>
        <w:t>accusation, ainsi qu</w:t>
      </w:r>
      <w:r w:rsidR="00357DC2" w:rsidRPr="00357DC2">
        <w:rPr>
          <w:lang w:val="fr-FR"/>
        </w:rPr>
        <w:t>’</w:t>
      </w:r>
      <w:r w:rsidRPr="00357DC2">
        <w:rPr>
          <w:lang w:val="fr-FR"/>
        </w:rPr>
        <w:t>au droit à disposer du temps et des facilités nécessaires à la préparation de sa défense en raison de la requalification des faits par la Cour de Cassation sans que le requérant en soit informé (violation de l</w:t>
      </w:r>
      <w:r w:rsidR="00357DC2" w:rsidRPr="00357DC2">
        <w:rPr>
          <w:lang w:val="fr-FR"/>
        </w:rPr>
        <w:t>’</w:t>
      </w:r>
      <w:r w:rsidRPr="00357DC2">
        <w:rPr>
          <w:lang w:val="fr-FR"/>
        </w:rPr>
        <w:t>article 6, paragraphe 3 a) et b), combiné avec l</w:t>
      </w:r>
      <w:r w:rsidR="00357DC2" w:rsidRPr="00357DC2">
        <w:rPr>
          <w:lang w:val="fr-FR"/>
        </w:rPr>
        <w:t>’</w:t>
      </w:r>
      <w:r w:rsidRPr="00357DC2">
        <w:rPr>
          <w:lang w:val="fr-FR"/>
        </w:rPr>
        <w:t>article 6, paragraphe 1) (voir détails dans l</w:t>
      </w:r>
      <w:r w:rsidR="00357DC2" w:rsidRPr="00357DC2">
        <w:rPr>
          <w:lang w:val="fr-FR"/>
        </w:rPr>
        <w:t>’</w:t>
      </w:r>
      <w:r w:rsidRPr="00357DC2">
        <w:rPr>
          <w:lang w:val="fr-FR"/>
        </w:rPr>
        <w:t>Annexe).</w:t>
      </w:r>
    </w:p>
    <w:p w:rsidR="00520396" w:rsidRPr="00357DC2" w:rsidRDefault="00520396" w:rsidP="00357DC2">
      <w:pPr>
        <w:pStyle w:val="ECHRParaQuote"/>
        <w:rPr>
          <w:lang w:val="fr-FR"/>
        </w:rPr>
      </w:pPr>
      <w:r w:rsidRPr="00357DC2">
        <w:rPr>
          <w:lang w:val="fr-FR"/>
        </w:rPr>
        <w:t>(...)</w:t>
      </w:r>
    </w:p>
    <w:p w:rsidR="00520396" w:rsidRPr="00357DC2" w:rsidRDefault="00520396" w:rsidP="00357DC2">
      <w:pPr>
        <w:pStyle w:val="ECHRParaQuote"/>
        <w:rPr>
          <w:lang w:val="fr-FR"/>
        </w:rPr>
      </w:pPr>
      <w:r w:rsidRPr="00357DC2">
        <w:rPr>
          <w:lang w:val="fr-FR"/>
        </w:rPr>
        <w:t>D</w:t>
      </w:r>
      <w:r w:rsidR="004B6D98" w:rsidRPr="00357DC2">
        <w:rPr>
          <w:rFonts w:cstheme="minorHAnsi"/>
          <w:lang w:val="fr-FR"/>
        </w:rPr>
        <w:t>É</w:t>
      </w:r>
      <w:r w:rsidRPr="00357DC2">
        <w:rPr>
          <w:lang w:val="fr-FR"/>
        </w:rPr>
        <w:t>CLARE, après avoir examiné les mesures prises par l</w:t>
      </w:r>
      <w:r w:rsidR="00357DC2" w:rsidRPr="00357DC2">
        <w:rPr>
          <w:lang w:val="fr-FR"/>
        </w:rPr>
        <w:t>’</w:t>
      </w:r>
      <w:r w:rsidRPr="00357DC2">
        <w:rPr>
          <w:lang w:val="fr-FR"/>
        </w:rPr>
        <w:t>État défendeur (voir Annexe) qu</w:t>
      </w:r>
      <w:r w:rsidR="00357DC2" w:rsidRPr="00357DC2">
        <w:rPr>
          <w:lang w:val="fr-FR"/>
        </w:rPr>
        <w:t>’</w:t>
      </w:r>
      <w:r w:rsidRPr="00357DC2">
        <w:rPr>
          <w:lang w:val="fr-FR"/>
        </w:rPr>
        <w:t>il a rempli ses fonctions en vertu de l</w:t>
      </w:r>
      <w:r w:rsidR="00357DC2" w:rsidRPr="00357DC2">
        <w:rPr>
          <w:lang w:val="fr-FR"/>
        </w:rPr>
        <w:t>’</w:t>
      </w:r>
      <w:r w:rsidRPr="00357DC2">
        <w:rPr>
          <w:lang w:val="fr-FR"/>
        </w:rPr>
        <w:t>article 46 paragraphe 2 de la Convention dans la présente affaire et</w:t>
      </w:r>
    </w:p>
    <w:p w:rsidR="00520396" w:rsidRPr="00357DC2" w:rsidRDefault="00520396" w:rsidP="00357DC2">
      <w:pPr>
        <w:pStyle w:val="ECHRParaQuote"/>
        <w:rPr>
          <w:lang w:val="fr-FR"/>
        </w:rPr>
      </w:pPr>
      <w:r w:rsidRPr="00357DC2">
        <w:rPr>
          <w:lang w:val="fr-FR"/>
        </w:rPr>
        <w:t>D</w:t>
      </w:r>
      <w:r w:rsidR="004B6D98" w:rsidRPr="00357DC2">
        <w:rPr>
          <w:rFonts w:cstheme="minorHAnsi"/>
          <w:lang w:val="fr-FR"/>
        </w:rPr>
        <w:t>É</w:t>
      </w:r>
      <w:r w:rsidRPr="00357DC2">
        <w:rPr>
          <w:lang w:val="fr-FR"/>
        </w:rPr>
        <w:t>CIDE d</w:t>
      </w:r>
      <w:r w:rsidR="00357DC2" w:rsidRPr="00357DC2">
        <w:rPr>
          <w:lang w:val="fr-FR"/>
        </w:rPr>
        <w:t>’</w:t>
      </w:r>
      <w:r w:rsidRPr="00357DC2">
        <w:rPr>
          <w:lang w:val="fr-FR"/>
        </w:rPr>
        <w:t>en clore l</w:t>
      </w:r>
      <w:r w:rsidR="00357DC2" w:rsidRPr="00357DC2">
        <w:rPr>
          <w:lang w:val="fr-FR"/>
        </w:rPr>
        <w:t>’</w:t>
      </w:r>
      <w:r w:rsidRPr="00357DC2">
        <w:rPr>
          <w:lang w:val="fr-FR"/>
        </w:rPr>
        <w:t>examen. »</w:t>
      </w:r>
    </w:p>
    <w:p w:rsidR="00520396" w:rsidRPr="00357DC2" w:rsidRDefault="00520396" w:rsidP="00357DC2">
      <w:pPr>
        <w:pStyle w:val="ECHRPara"/>
        <w:rPr>
          <w:lang w:val="fr-FR"/>
        </w:rPr>
      </w:pPr>
      <w:r w:rsidRPr="00357DC2">
        <w:rPr>
          <w:lang w:val="fr-FR"/>
        </w:rPr>
        <w:lastRenderedPageBreak/>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15</w:t>
      </w:r>
      <w:r w:rsidRPr="00357DC2">
        <w:rPr>
          <w:lang w:val="fr-FR"/>
        </w:rPr>
        <w:fldChar w:fldCharType="end"/>
      </w:r>
      <w:r w:rsidRPr="00357DC2">
        <w:rPr>
          <w:lang w:val="fr-FR"/>
        </w:rPr>
        <w:t>.  L</w:t>
      </w:r>
      <w:r w:rsidR="00357DC2" w:rsidRPr="00357DC2">
        <w:rPr>
          <w:lang w:val="fr-FR"/>
        </w:rPr>
        <w:t>’</w:t>
      </w:r>
      <w:r w:rsidR="004B6D98" w:rsidRPr="00357DC2">
        <w:rPr>
          <w:lang w:val="fr-FR"/>
        </w:rPr>
        <w:t>a</w:t>
      </w:r>
      <w:r w:rsidRPr="00357DC2">
        <w:rPr>
          <w:lang w:val="fr-FR"/>
        </w:rPr>
        <w:t>nnexe à la Résolution ResDH(2009)87 se lit ainsi dans ses parties pertinentes</w:t>
      </w:r>
      <w:r w:rsidR="004B6D98" w:rsidRPr="00357DC2">
        <w:rPr>
          <w:lang w:val="fr-FR"/>
        </w:rPr>
        <w:t xml:space="preserve"> en l</w:t>
      </w:r>
      <w:r w:rsidR="00357DC2" w:rsidRPr="00357DC2">
        <w:rPr>
          <w:lang w:val="fr-FR"/>
        </w:rPr>
        <w:t>’</w:t>
      </w:r>
      <w:r w:rsidR="004B6D98" w:rsidRPr="00357DC2">
        <w:rPr>
          <w:lang w:val="fr-FR"/>
        </w:rPr>
        <w:t>espèce</w:t>
      </w:r>
      <w:r w:rsidRPr="00357DC2">
        <w:rPr>
          <w:lang w:val="fr-FR"/>
        </w:rPr>
        <w:t> :</w:t>
      </w:r>
    </w:p>
    <w:p w:rsidR="00520396" w:rsidRPr="00357DC2" w:rsidRDefault="00520396" w:rsidP="00357DC2">
      <w:pPr>
        <w:pStyle w:val="ECHRParaQuote"/>
        <w:jc w:val="center"/>
        <w:rPr>
          <w:lang w:val="fr-FR"/>
        </w:rPr>
      </w:pPr>
      <w:r w:rsidRPr="00357DC2">
        <w:rPr>
          <w:lang w:val="fr-FR"/>
        </w:rPr>
        <w:t>« Informations sur les mesures prises afin de se conformer à l</w:t>
      </w:r>
      <w:r w:rsidR="00357DC2" w:rsidRPr="00357DC2">
        <w:rPr>
          <w:lang w:val="fr-FR"/>
        </w:rPr>
        <w:t>’</w:t>
      </w:r>
      <w:r w:rsidRPr="00357DC2">
        <w:rPr>
          <w:lang w:val="fr-FR"/>
        </w:rPr>
        <w:t xml:space="preserve">arrêt </w:t>
      </w:r>
      <w:r w:rsidR="00E77642" w:rsidRPr="00357DC2">
        <w:rPr>
          <w:lang w:val="fr-FR"/>
        </w:rPr>
        <w:br/>
      </w:r>
      <w:r w:rsidRPr="00357DC2">
        <w:rPr>
          <w:lang w:val="fr-FR"/>
        </w:rPr>
        <w:t>dans l</w:t>
      </w:r>
      <w:r w:rsidR="00357DC2" w:rsidRPr="00357DC2">
        <w:rPr>
          <w:lang w:val="fr-FR"/>
        </w:rPr>
        <w:t>’</w:t>
      </w:r>
      <w:r w:rsidRPr="00357DC2">
        <w:rPr>
          <w:lang w:val="fr-FR"/>
        </w:rPr>
        <w:t>affaire Drassich contre Italie</w:t>
      </w:r>
    </w:p>
    <w:p w:rsidR="00520396" w:rsidRPr="00357DC2" w:rsidRDefault="00520396" w:rsidP="00357DC2">
      <w:pPr>
        <w:pStyle w:val="ECHRParaQuote"/>
        <w:rPr>
          <w:lang w:val="fr-FR"/>
        </w:rPr>
      </w:pPr>
      <w:r w:rsidRPr="00357DC2">
        <w:rPr>
          <w:lang w:val="fr-FR"/>
        </w:rPr>
        <w:t>(...)</w:t>
      </w:r>
    </w:p>
    <w:p w:rsidR="00520396" w:rsidRPr="00357DC2" w:rsidRDefault="00520396" w:rsidP="00357DC2">
      <w:pPr>
        <w:pStyle w:val="ECHRParaQuote"/>
        <w:rPr>
          <w:lang w:val="fr-FR"/>
        </w:rPr>
      </w:pPr>
      <w:r w:rsidRPr="00357DC2">
        <w:rPr>
          <w:lang w:val="fr-FR"/>
        </w:rPr>
        <w:t>I.  Paiement de la satisfaction équitable et mesures individuelles</w:t>
      </w:r>
    </w:p>
    <w:p w:rsidR="00520396" w:rsidRPr="00357DC2" w:rsidRDefault="00520396" w:rsidP="00357DC2">
      <w:pPr>
        <w:pStyle w:val="ECHRParaQuote"/>
        <w:rPr>
          <w:lang w:val="fr-FR"/>
        </w:rPr>
      </w:pPr>
      <w:r w:rsidRPr="00357DC2">
        <w:rPr>
          <w:lang w:val="fr-FR"/>
        </w:rPr>
        <w:t>(...)</w:t>
      </w:r>
    </w:p>
    <w:p w:rsidR="00520396" w:rsidRPr="00357DC2" w:rsidRDefault="00520396" w:rsidP="00357DC2">
      <w:pPr>
        <w:pStyle w:val="ECHRParaQuote"/>
        <w:rPr>
          <w:lang w:val="fr-FR"/>
        </w:rPr>
      </w:pPr>
      <w:r w:rsidRPr="00357DC2">
        <w:rPr>
          <w:lang w:val="fr-FR"/>
        </w:rPr>
        <w:t>b)  Mesures individuelles</w:t>
      </w:r>
    </w:p>
    <w:p w:rsidR="00520396" w:rsidRPr="00357DC2" w:rsidRDefault="00520396" w:rsidP="00357DC2">
      <w:pPr>
        <w:pStyle w:val="ECHRParaQuote"/>
        <w:rPr>
          <w:lang w:val="fr-FR"/>
        </w:rPr>
      </w:pPr>
      <w:r w:rsidRPr="00357DC2">
        <w:rPr>
          <w:lang w:val="fr-FR"/>
        </w:rPr>
        <w:t>Le requérant a été condamné à une peine de trois ans et huit mois de prison. Il a purgé sept mois et un jour et, à partir du 6/09/2004, sa condamnation a été commuée en sursis probatoire, sous la surveillance d</w:t>
      </w:r>
      <w:r w:rsidR="00357DC2" w:rsidRPr="00357DC2">
        <w:rPr>
          <w:lang w:val="fr-FR"/>
        </w:rPr>
        <w:t>’</w:t>
      </w:r>
      <w:r w:rsidRPr="00357DC2">
        <w:rPr>
          <w:lang w:val="fr-FR"/>
        </w:rPr>
        <w:t>un service social</w:t>
      </w:r>
      <w:r w:rsidR="00E77642" w:rsidRPr="00357DC2">
        <w:rPr>
          <w:lang w:val="fr-FR"/>
        </w:rPr>
        <w:t xml:space="preserve"> (</w:t>
      </w:r>
      <w:r w:rsidR="007A6B24" w:rsidRPr="00357DC2">
        <w:rPr>
          <w:lang w:val="fr-FR"/>
        </w:rPr>
        <w:t>...</w:t>
      </w:r>
      <w:r w:rsidR="00E77642" w:rsidRPr="00357DC2">
        <w:rPr>
          <w:lang w:val="fr-FR"/>
        </w:rPr>
        <w:t>)</w:t>
      </w:r>
      <w:r w:rsidRPr="00357DC2">
        <w:rPr>
          <w:lang w:val="fr-FR"/>
        </w:rPr>
        <w:t>, la peine résiduelle étant inférieure à deux ans. La Cour européenne avait toutefois considéré qu</w:t>
      </w:r>
      <w:r w:rsidR="00357DC2" w:rsidRPr="00357DC2">
        <w:rPr>
          <w:lang w:val="fr-FR"/>
        </w:rPr>
        <w:t>’</w:t>
      </w:r>
      <w:r w:rsidRPr="00357DC2">
        <w:rPr>
          <w:lang w:val="fr-FR"/>
        </w:rPr>
        <w:t>un nouveau procès ou une réouverture de la procédure, à la demande de l</w:t>
      </w:r>
      <w:r w:rsidR="00357DC2" w:rsidRPr="00357DC2">
        <w:rPr>
          <w:lang w:val="fr-FR"/>
        </w:rPr>
        <w:t>’</w:t>
      </w:r>
      <w:r w:rsidRPr="00357DC2">
        <w:rPr>
          <w:lang w:val="fr-FR"/>
        </w:rPr>
        <w:t>intéressé, représentait en principe un moyen approprié de réparer la violation (paragraphe 46 de l</w:t>
      </w:r>
      <w:r w:rsidR="00357DC2" w:rsidRPr="00357DC2">
        <w:rPr>
          <w:lang w:val="fr-FR"/>
        </w:rPr>
        <w:t>’</w:t>
      </w:r>
      <w:r w:rsidRPr="00357DC2">
        <w:rPr>
          <w:lang w:val="fr-FR"/>
        </w:rPr>
        <w:t>arrêt). Suite à l</w:t>
      </w:r>
      <w:r w:rsidR="00357DC2" w:rsidRPr="00357DC2">
        <w:rPr>
          <w:lang w:val="fr-FR"/>
        </w:rPr>
        <w:t>’</w:t>
      </w:r>
      <w:r w:rsidRPr="00357DC2">
        <w:rPr>
          <w:lang w:val="fr-FR"/>
        </w:rPr>
        <w:t>arrêt de la Cour européenne, le requérant a demandé à la Cour d</w:t>
      </w:r>
      <w:r w:rsidR="00357DC2" w:rsidRPr="00357DC2">
        <w:rPr>
          <w:lang w:val="fr-FR"/>
        </w:rPr>
        <w:t>’</w:t>
      </w:r>
      <w:r w:rsidRPr="00357DC2">
        <w:rPr>
          <w:lang w:val="fr-FR"/>
        </w:rPr>
        <w:t>appel de Venise de déclarer son arrêt du 12/06/2002 non exécutoire au titre de l</w:t>
      </w:r>
      <w:r w:rsidR="00357DC2" w:rsidRPr="00357DC2">
        <w:rPr>
          <w:lang w:val="fr-FR"/>
        </w:rPr>
        <w:t>’</w:t>
      </w:r>
      <w:r w:rsidRPr="00357DC2">
        <w:rPr>
          <w:lang w:val="fr-FR"/>
        </w:rPr>
        <w:t>article 670 du Code de procédure pénale. En appliquant la jurisprudence de la Cour de cassation (arrêts n</w:t>
      </w:r>
      <w:r w:rsidRPr="00357DC2">
        <w:rPr>
          <w:vertAlign w:val="superscript"/>
          <w:lang w:val="fr-FR"/>
        </w:rPr>
        <w:t>o</w:t>
      </w:r>
      <w:r w:rsidRPr="00357DC2">
        <w:rPr>
          <w:lang w:val="fr-FR"/>
        </w:rPr>
        <w:t xml:space="preserve"> 3600, Dorigo et n</w:t>
      </w:r>
      <w:r w:rsidRPr="00357DC2">
        <w:rPr>
          <w:vertAlign w:val="superscript"/>
          <w:lang w:val="fr-FR"/>
        </w:rPr>
        <w:t>o</w:t>
      </w:r>
      <w:r w:rsidRPr="00357DC2">
        <w:rPr>
          <w:lang w:val="fr-FR"/>
        </w:rPr>
        <w:t xml:space="preserve"> 2432, Somogy), la Cour d</w:t>
      </w:r>
      <w:r w:rsidR="00357DC2" w:rsidRPr="00357DC2">
        <w:rPr>
          <w:lang w:val="fr-FR"/>
        </w:rPr>
        <w:t>’</w:t>
      </w:r>
      <w:r w:rsidRPr="00357DC2">
        <w:rPr>
          <w:lang w:val="fr-FR"/>
        </w:rPr>
        <w:t>appel a reconnu son arrêt comme non exécutoire pour ce qui est de la partie relative à la corruption et a renvoyé à la Cour de cassation le recours initial du requérant contre cet arrêt afin qu</w:t>
      </w:r>
      <w:r w:rsidR="00357DC2" w:rsidRPr="00357DC2">
        <w:rPr>
          <w:lang w:val="fr-FR"/>
        </w:rPr>
        <w:t>’</w:t>
      </w:r>
      <w:r w:rsidRPr="00357DC2">
        <w:rPr>
          <w:lang w:val="fr-FR"/>
        </w:rPr>
        <w:t>elle puisse donner effet à l</w:t>
      </w:r>
      <w:r w:rsidR="00357DC2" w:rsidRPr="00357DC2">
        <w:rPr>
          <w:lang w:val="fr-FR"/>
        </w:rPr>
        <w:t>’</w:t>
      </w:r>
      <w:r w:rsidRPr="00357DC2">
        <w:rPr>
          <w:lang w:val="fr-FR"/>
        </w:rPr>
        <w:t>arrêt de la Cour européenne. Dans son arrêt du 11/12/2008, la Cour de cassation a estimé que, dans le cas d</w:t>
      </w:r>
      <w:r w:rsidR="00357DC2" w:rsidRPr="00357DC2">
        <w:rPr>
          <w:lang w:val="fr-FR"/>
        </w:rPr>
        <w:t>’</w:t>
      </w:r>
      <w:r w:rsidRPr="00357DC2">
        <w:rPr>
          <w:lang w:val="fr-FR"/>
        </w:rPr>
        <w:t xml:space="preserve">espèce, la </w:t>
      </w:r>
      <w:r w:rsidRPr="00357DC2">
        <w:rPr>
          <w:i/>
          <w:lang w:val="fr-FR"/>
        </w:rPr>
        <w:t xml:space="preserve">restitutio in integrum </w:t>
      </w:r>
      <w:r w:rsidRPr="00357DC2">
        <w:rPr>
          <w:lang w:val="fr-FR"/>
        </w:rPr>
        <w:t>devait se limiter à annuler la partie de son jugement qui n</w:t>
      </w:r>
      <w:r w:rsidR="00357DC2" w:rsidRPr="00357DC2">
        <w:rPr>
          <w:lang w:val="fr-FR"/>
        </w:rPr>
        <w:t>’</w:t>
      </w:r>
      <w:r w:rsidRPr="00357DC2">
        <w:rPr>
          <w:lang w:val="fr-FR"/>
        </w:rPr>
        <w:t>avait pas respecté le principe du débat contradictoire, à savoir celle où elle avait elle-même procédé à la requalification des faits allég</w:t>
      </w:r>
      <w:r w:rsidR="003A4BAE" w:rsidRPr="00357DC2">
        <w:rPr>
          <w:lang w:val="fr-FR"/>
        </w:rPr>
        <w:t>ués contre le requérant de « corruption simple » à « </w:t>
      </w:r>
      <w:r w:rsidRPr="00357DC2">
        <w:rPr>
          <w:lang w:val="fr-FR"/>
        </w:rPr>
        <w:t>corruption dans des actes judiciaires</w:t>
      </w:r>
      <w:r w:rsidR="003A4BAE" w:rsidRPr="00357DC2">
        <w:rPr>
          <w:lang w:val="fr-FR"/>
        </w:rPr>
        <w:t> </w:t>
      </w:r>
      <w:r w:rsidRPr="00357DC2">
        <w:rPr>
          <w:lang w:val="fr-FR"/>
        </w:rPr>
        <w:t>». La Cour de cassation a considéré que l</w:t>
      </w:r>
      <w:r w:rsidR="00357DC2" w:rsidRPr="00357DC2">
        <w:rPr>
          <w:lang w:val="fr-FR"/>
        </w:rPr>
        <w:t>’</w:t>
      </w:r>
      <w:r w:rsidRPr="00357DC2">
        <w:rPr>
          <w:lang w:val="fr-FR"/>
        </w:rPr>
        <w:t>article 625</w:t>
      </w:r>
      <w:r w:rsidR="005E1FAA" w:rsidRPr="00357DC2">
        <w:rPr>
          <w:lang w:val="fr-FR"/>
        </w:rPr>
        <w:t xml:space="preserve"> </w:t>
      </w:r>
      <w:r w:rsidRPr="00357DC2">
        <w:rPr>
          <w:i/>
          <w:lang w:val="fr-FR"/>
        </w:rPr>
        <w:t>bis</w:t>
      </w:r>
      <w:r w:rsidRPr="00357DC2">
        <w:rPr>
          <w:lang w:val="fr-FR"/>
        </w:rPr>
        <w:t xml:space="preserve"> du Code de procédure pénale était l</w:t>
      </w:r>
      <w:r w:rsidR="00357DC2" w:rsidRPr="00357DC2">
        <w:rPr>
          <w:lang w:val="fr-FR"/>
        </w:rPr>
        <w:t>’</w:t>
      </w:r>
      <w:r w:rsidRPr="00357DC2">
        <w:rPr>
          <w:lang w:val="fr-FR"/>
        </w:rPr>
        <w:t xml:space="preserve">instrument le plus approprié pour aboutir à ce résultat. Cet article qui prévoit un recours extraordinaire pour remédier à des erreurs matérielles, peut être appliqué </w:t>
      </w:r>
      <w:r w:rsidRPr="00357DC2">
        <w:rPr>
          <w:i/>
          <w:lang w:val="fr-FR"/>
        </w:rPr>
        <w:t>analogia legis</w:t>
      </w:r>
      <w:r w:rsidRPr="00357DC2">
        <w:rPr>
          <w:lang w:val="fr-FR"/>
        </w:rPr>
        <w:t xml:space="preserve"> à des violations du droit de se défendre devant la Cour de cassation, et permet ainsi de supprimer la</w:t>
      </w:r>
      <w:r w:rsidR="00B7026D" w:rsidRPr="00357DC2">
        <w:rPr>
          <w:lang w:val="fr-FR"/>
        </w:rPr>
        <w:t xml:space="preserve"> </w:t>
      </w:r>
      <w:r w:rsidRPr="00357DC2">
        <w:rPr>
          <w:lang w:val="fr-FR"/>
        </w:rPr>
        <w:t>partie de la décision mise en cause. La Cour de cassation a donc annulé son arrêt du 4</w:t>
      </w:r>
      <w:r w:rsidR="00971805" w:rsidRPr="00357DC2">
        <w:rPr>
          <w:lang w:val="fr-FR"/>
        </w:rPr>
        <w:t> </w:t>
      </w:r>
      <w:r w:rsidR="00074A2A" w:rsidRPr="00357DC2">
        <w:rPr>
          <w:lang w:val="fr-FR"/>
        </w:rPr>
        <w:t>février</w:t>
      </w:r>
      <w:r w:rsidR="003A4BAE" w:rsidRPr="00357DC2">
        <w:rPr>
          <w:lang w:val="fr-FR"/>
        </w:rPr>
        <w:t xml:space="preserve"> </w:t>
      </w:r>
      <w:r w:rsidRPr="00357DC2">
        <w:rPr>
          <w:lang w:val="fr-FR"/>
        </w:rPr>
        <w:t>2004 uniquement pour ce qui est de l</w:t>
      </w:r>
      <w:r w:rsidR="00357DC2" w:rsidRPr="00357DC2">
        <w:rPr>
          <w:lang w:val="fr-FR"/>
        </w:rPr>
        <w:t>’</w:t>
      </w:r>
      <w:r w:rsidRPr="00357DC2">
        <w:rPr>
          <w:lang w:val="fr-FR"/>
        </w:rPr>
        <w:t>infraction de corruption définie comme corruption dans des actes judiciaires et a ordonné de procéder à un nouvel examen du pourvoi en cassation du requérant à l</w:t>
      </w:r>
      <w:r w:rsidR="00357DC2" w:rsidRPr="00357DC2">
        <w:rPr>
          <w:lang w:val="fr-FR"/>
        </w:rPr>
        <w:t>’</w:t>
      </w:r>
      <w:r w:rsidRPr="00357DC2">
        <w:rPr>
          <w:lang w:val="fr-FR"/>
        </w:rPr>
        <w:t>encontre de l</w:t>
      </w:r>
      <w:r w:rsidR="00357DC2" w:rsidRPr="00357DC2">
        <w:rPr>
          <w:lang w:val="fr-FR"/>
        </w:rPr>
        <w:t>’</w:t>
      </w:r>
      <w:r w:rsidRPr="00357DC2">
        <w:rPr>
          <w:lang w:val="fr-FR"/>
        </w:rPr>
        <w:t>arrêt du 12</w:t>
      </w:r>
      <w:r w:rsidR="00074A2A" w:rsidRPr="00357DC2">
        <w:rPr>
          <w:lang w:val="fr-FR"/>
        </w:rPr>
        <w:t xml:space="preserve"> juin </w:t>
      </w:r>
      <w:r w:rsidRPr="00357DC2">
        <w:rPr>
          <w:lang w:val="fr-FR"/>
        </w:rPr>
        <w:t>2002 de la Cour d</w:t>
      </w:r>
      <w:r w:rsidR="00357DC2" w:rsidRPr="00357DC2">
        <w:rPr>
          <w:lang w:val="fr-FR"/>
        </w:rPr>
        <w:t>’</w:t>
      </w:r>
      <w:r w:rsidRPr="00357DC2">
        <w:rPr>
          <w:lang w:val="fr-FR"/>
        </w:rPr>
        <w:t>appel de Venise. Dans le cadre de la nouvelle procédure, la Cour de cassation ne manquera pas de prendre en compte les exigences de la Convention en matière de procès équitable.</w:t>
      </w:r>
    </w:p>
    <w:p w:rsidR="00520396" w:rsidRPr="00357DC2" w:rsidRDefault="00520396" w:rsidP="00357DC2">
      <w:pPr>
        <w:pStyle w:val="ECHRParaQuote"/>
        <w:rPr>
          <w:lang w:val="fr-FR"/>
        </w:rPr>
      </w:pPr>
      <w:r w:rsidRPr="00357DC2">
        <w:rPr>
          <w:lang w:val="fr-FR"/>
        </w:rPr>
        <w:t>II.  Mesures générales</w:t>
      </w:r>
    </w:p>
    <w:p w:rsidR="00520396" w:rsidRPr="00357DC2" w:rsidRDefault="00520396" w:rsidP="00357DC2">
      <w:pPr>
        <w:pStyle w:val="ECHRParaQuote"/>
        <w:rPr>
          <w:lang w:val="fr-FR"/>
        </w:rPr>
      </w:pPr>
      <w:r w:rsidRPr="00357DC2">
        <w:rPr>
          <w:lang w:val="fr-FR"/>
        </w:rPr>
        <w:t>1)  </w:t>
      </w:r>
      <w:r w:rsidRPr="00357DC2">
        <w:rPr>
          <w:i/>
          <w:lang w:val="fr-FR"/>
        </w:rPr>
        <w:t>Requalification des infractions sans que le principe du débat contradictoire soit appliqué</w:t>
      </w:r>
      <w:r w:rsidR="004B6D98" w:rsidRPr="00357DC2">
        <w:rPr>
          <w:lang w:val="fr-FR"/>
        </w:rPr>
        <w:t> :</w:t>
      </w:r>
      <w:r w:rsidRPr="00357DC2">
        <w:rPr>
          <w:lang w:val="fr-FR"/>
        </w:rPr>
        <w:t xml:space="preserve"> selon le Gouvernement italien, aucun changement législatif n</w:t>
      </w:r>
      <w:r w:rsidR="00357DC2" w:rsidRPr="00357DC2">
        <w:rPr>
          <w:lang w:val="fr-FR"/>
        </w:rPr>
        <w:t>’</w:t>
      </w:r>
      <w:r w:rsidRPr="00357DC2">
        <w:rPr>
          <w:lang w:val="fr-FR"/>
        </w:rPr>
        <w:t>apparaît nécessaire car la violation résultait de l</w:t>
      </w:r>
      <w:r w:rsidR="00357DC2" w:rsidRPr="00357DC2">
        <w:rPr>
          <w:lang w:val="fr-FR"/>
        </w:rPr>
        <w:t>’</w:t>
      </w:r>
      <w:r w:rsidRPr="00357DC2">
        <w:rPr>
          <w:lang w:val="fr-FR"/>
        </w:rPr>
        <w:t>interprétation jurisprudentielle des principes généraux en la matière donnée par la Cour de cassation.</w:t>
      </w:r>
    </w:p>
    <w:p w:rsidR="00520396" w:rsidRPr="00357DC2" w:rsidRDefault="00520396" w:rsidP="00357DC2">
      <w:pPr>
        <w:pStyle w:val="ECHRParaQuote"/>
        <w:keepNext/>
        <w:keepLines/>
        <w:rPr>
          <w:lang w:val="fr-FR"/>
        </w:rPr>
      </w:pPr>
      <w:r w:rsidRPr="00357DC2">
        <w:rPr>
          <w:lang w:val="fr-FR"/>
        </w:rPr>
        <w:lastRenderedPageBreak/>
        <w:t>La jurisprudence récente de la Cour de cassation a fourni une nouvelle interprétation en conformité avec la jurisprudence de la Cour européenne. Dans son arrêt du 11/12/2008, la Cour de cassation a reconnu que l</w:t>
      </w:r>
      <w:r w:rsidR="00357DC2" w:rsidRPr="00357DC2">
        <w:rPr>
          <w:lang w:val="fr-FR"/>
        </w:rPr>
        <w:t>’</w:t>
      </w:r>
      <w:r w:rsidRPr="00357DC2">
        <w:rPr>
          <w:lang w:val="fr-FR"/>
        </w:rPr>
        <w:t>arrêt de la Cour européenne avait eu pour effet d</w:t>
      </w:r>
      <w:r w:rsidR="00357DC2" w:rsidRPr="00357DC2">
        <w:rPr>
          <w:lang w:val="fr-FR"/>
        </w:rPr>
        <w:t>’</w:t>
      </w:r>
      <w:r w:rsidRPr="00357DC2">
        <w:rPr>
          <w:lang w:val="fr-FR"/>
        </w:rPr>
        <w:t>élargir le champ d</w:t>
      </w:r>
      <w:r w:rsidR="00357DC2" w:rsidRPr="00357DC2">
        <w:rPr>
          <w:lang w:val="fr-FR"/>
        </w:rPr>
        <w:t>’</w:t>
      </w:r>
      <w:r w:rsidRPr="00357DC2">
        <w:rPr>
          <w:lang w:val="fr-FR"/>
        </w:rPr>
        <w:t>application du principe du débat contradictoire dans l</w:t>
      </w:r>
      <w:r w:rsidR="00357DC2" w:rsidRPr="00357DC2">
        <w:rPr>
          <w:lang w:val="fr-FR"/>
        </w:rPr>
        <w:t>’</w:t>
      </w:r>
      <w:r w:rsidRPr="00357DC2">
        <w:rPr>
          <w:lang w:val="fr-FR"/>
        </w:rPr>
        <w:t>ordre juridique interne. La Cour de cassation a considéré que l</w:t>
      </w:r>
      <w:r w:rsidR="00357DC2" w:rsidRPr="00357DC2">
        <w:rPr>
          <w:lang w:val="fr-FR"/>
        </w:rPr>
        <w:t>’</w:t>
      </w:r>
      <w:r w:rsidRPr="00357DC2">
        <w:rPr>
          <w:lang w:val="fr-FR"/>
        </w:rPr>
        <w:t>arrêt de la Cour européenne impliquait que dorénavant ce principe s</w:t>
      </w:r>
      <w:r w:rsidR="00357DC2" w:rsidRPr="00357DC2">
        <w:rPr>
          <w:lang w:val="fr-FR"/>
        </w:rPr>
        <w:t>’</w:t>
      </w:r>
      <w:r w:rsidRPr="00357DC2">
        <w:rPr>
          <w:lang w:val="fr-FR"/>
        </w:rPr>
        <w:t>applique à tous les stades de la procédure, y compris lorsque la Cour de cassation contrôle la légalité d</w:t>
      </w:r>
      <w:r w:rsidR="00357DC2" w:rsidRPr="00357DC2">
        <w:rPr>
          <w:lang w:val="fr-FR"/>
        </w:rPr>
        <w:t>’</w:t>
      </w:r>
      <w:r w:rsidRPr="00357DC2">
        <w:rPr>
          <w:lang w:val="fr-FR"/>
        </w:rPr>
        <w:t>un jugement, dès lors qu</w:t>
      </w:r>
      <w:r w:rsidR="00357DC2" w:rsidRPr="00357DC2">
        <w:rPr>
          <w:lang w:val="fr-FR"/>
        </w:rPr>
        <w:t>’</w:t>
      </w:r>
      <w:r w:rsidRPr="00357DC2">
        <w:rPr>
          <w:lang w:val="fr-FR"/>
        </w:rPr>
        <w:t xml:space="preserve">une modification </w:t>
      </w:r>
      <w:r w:rsidRPr="00357DC2">
        <w:rPr>
          <w:i/>
          <w:lang w:val="fr-FR"/>
        </w:rPr>
        <w:t>ex-officio</w:t>
      </w:r>
      <w:r w:rsidRPr="00357DC2">
        <w:rPr>
          <w:lang w:val="fr-FR"/>
        </w:rPr>
        <w:t xml:space="preserve"> du chef d</w:t>
      </w:r>
      <w:r w:rsidR="00357DC2" w:rsidRPr="00357DC2">
        <w:rPr>
          <w:lang w:val="fr-FR"/>
        </w:rPr>
        <w:t>’</w:t>
      </w:r>
      <w:r w:rsidRPr="00357DC2">
        <w:rPr>
          <w:lang w:val="fr-FR"/>
        </w:rPr>
        <w:t>accusation a eu une incidence sur la peine prononcée à l</w:t>
      </w:r>
      <w:r w:rsidR="00357DC2" w:rsidRPr="00357DC2">
        <w:rPr>
          <w:lang w:val="fr-FR"/>
        </w:rPr>
        <w:t>’</w:t>
      </w:r>
      <w:r w:rsidRPr="00357DC2">
        <w:rPr>
          <w:lang w:val="fr-FR"/>
        </w:rPr>
        <w:t>encontre du requérant.</w:t>
      </w:r>
    </w:p>
    <w:p w:rsidR="00520396" w:rsidRPr="00357DC2" w:rsidRDefault="00520396" w:rsidP="00357DC2">
      <w:pPr>
        <w:pStyle w:val="ECHRParaQuote"/>
        <w:rPr>
          <w:lang w:val="fr-FR"/>
        </w:rPr>
      </w:pPr>
      <w:r w:rsidRPr="00357DC2">
        <w:rPr>
          <w:lang w:val="fr-FR"/>
        </w:rPr>
        <w:t>2)  </w:t>
      </w:r>
      <w:r w:rsidRPr="00357DC2">
        <w:rPr>
          <w:i/>
          <w:lang w:val="fr-FR"/>
        </w:rPr>
        <w:t>Réouverture des procédures à la suite de constats de violations</w:t>
      </w:r>
      <w:r w:rsidR="000E5607" w:rsidRPr="00357DC2">
        <w:rPr>
          <w:i/>
          <w:lang w:val="fr-FR"/>
        </w:rPr>
        <w:t> </w:t>
      </w:r>
      <w:r w:rsidR="000E5607" w:rsidRPr="00357DC2">
        <w:rPr>
          <w:lang w:val="fr-FR"/>
        </w:rPr>
        <w:t>:</w:t>
      </w:r>
      <w:r w:rsidRPr="00357DC2">
        <w:rPr>
          <w:lang w:val="fr-FR"/>
        </w:rPr>
        <w:t xml:space="preserve"> dans son arrêt du 11/12/2008, la Cour de cassation a estimé que, dans des cas comme celui d</w:t>
      </w:r>
      <w:r w:rsidR="00357DC2" w:rsidRPr="00357DC2">
        <w:rPr>
          <w:lang w:val="fr-FR"/>
        </w:rPr>
        <w:t>’</w:t>
      </w:r>
      <w:r w:rsidRPr="00357DC2">
        <w:rPr>
          <w:lang w:val="fr-FR"/>
        </w:rPr>
        <w:t>espèce, la décision de la Cour européenne ne remettait pas en question la décision sur le fond, mais seulement l</w:t>
      </w:r>
      <w:r w:rsidR="00357DC2" w:rsidRPr="00357DC2">
        <w:rPr>
          <w:lang w:val="fr-FR"/>
        </w:rPr>
        <w:t>’</w:t>
      </w:r>
      <w:r w:rsidRPr="00357DC2">
        <w:rPr>
          <w:lang w:val="fr-FR"/>
        </w:rPr>
        <w:t>arrêt de la Cour de cassation qui s</w:t>
      </w:r>
      <w:r w:rsidR="00357DC2" w:rsidRPr="00357DC2">
        <w:rPr>
          <w:lang w:val="fr-FR"/>
        </w:rPr>
        <w:t>’</w:t>
      </w:r>
      <w:r w:rsidRPr="00357DC2">
        <w:rPr>
          <w:lang w:val="fr-FR"/>
        </w:rPr>
        <w:t>était avéré inéquitable en raison d</w:t>
      </w:r>
      <w:r w:rsidR="00357DC2" w:rsidRPr="00357DC2">
        <w:rPr>
          <w:lang w:val="fr-FR"/>
        </w:rPr>
        <w:t>’</w:t>
      </w:r>
      <w:r w:rsidRPr="00357DC2">
        <w:rPr>
          <w:lang w:val="fr-FR"/>
        </w:rPr>
        <w:t>une carence du système juridique (la non-application du principe du débat contradictoire). C</w:t>
      </w:r>
      <w:r w:rsidR="00357DC2" w:rsidRPr="00357DC2">
        <w:rPr>
          <w:lang w:val="fr-FR"/>
        </w:rPr>
        <w:t>’</w:t>
      </w:r>
      <w:r w:rsidRPr="00357DC2">
        <w:rPr>
          <w:lang w:val="fr-FR"/>
        </w:rPr>
        <w:t>est pourquoi, la révision de la décision sur le fond n</w:t>
      </w:r>
      <w:r w:rsidR="00357DC2" w:rsidRPr="00357DC2">
        <w:rPr>
          <w:lang w:val="fr-FR"/>
        </w:rPr>
        <w:t>’</w:t>
      </w:r>
      <w:r w:rsidRPr="00357DC2">
        <w:rPr>
          <w:lang w:val="fr-FR"/>
        </w:rPr>
        <w:t>est pas nécessaire et l</w:t>
      </w:r>
      <w:r w:rsidR="00357DC2" w:rsidRPr="00357DC2">
        <w:rPr>
          <w:lang w:val="fr-FR"/>
        </w:rPr>
        <w:t>’</w:t>
      </w:r>
      <w:r w:rsidRPr="00357DC2">
        <w:rPr>
          <w:lang w:val="fr-FR"/>
        </w:rPr>
        <w:t>application par analogie de l</w:t>
      </w:r>
      <w:r w:rsidR="00357DC2" w:rsidRPr="00357DC2">
        <w:rPr>
          <w:lang w:val="fr-FR"/>
        </w:rPr>
        <w:t>’</w:t>
      </w:r>
      <w:r w:rsidRPr="00357DC2">
        <w:rPr>
          <w:lang w:val="fr-FR"/>
        </w:rPr>
        <w:t>article 625</w:t>
      </w:r>
      <w:r w:rsidR="005E1FAA" w:rsidRPr="00357DC2">
        <w:rPr>
          <w:lang w:val="fr-FR"/>
        </w:rPr>
        <w:t xml:space="preserve"> </w:t>
      </w:r>
      <w:r w:rsidRPr="00357DC2">
        <w:rPr>
          <w:i/>
          <w:lang w:val="fr-FR"/>
        </w:rPr>
        <w:t>bis</w:t>
      </w:r>
      <w:r w:rsidRPr="00357DC2">
        <w:rPr>
          <w:lang w:val="fr-FR"/>
        </w:rPr>
        <w:t xml:space="preserve"> du Code de procédure pénale est suffisante pour combler la lacune du système juridique dans des affaires similaires.</w:t>
      </w:r>
    </w:p>
    <w:p w:rsidR="00520396" w:rsidRPr="00357DC2" w:rsidRDefault="00520396" w:rsidP="00357DC2">
      <w:pPr>
        <w:pStyle w:val="ECHRParaQuote"/>
        <w:rPr>
          <w:lang w:val="fr-FR"/>
        </w:rPr>
      </w:pPr>
      <w:r w:rsidRPr="00357DC2">
        <w:rPr>
          <w:lang w:val="fr-FR"/>
        </w:rPr>
        <w:t>3)  </w:t>
      </w:r>
      <w:r w:rsidRPr="00357DC2">
        <w:rPr>
          <w:i/>
          <w:lang w:val="fr-FR"/>
        </w:rPr>
        <w:t>Publication et diffusion</w:t>
      </w:r>
      <w:r w:rsidR="000E5607" w:rsidRPr="00357DC2">
        <w:rPr>
          <w:lang w:val="fr-FR"/>
        </w:rPr>
        <w:t> :</w:t>
      </w:r>
      <w:r w:rsidRPr="00357DC2">
        <w:rPr>
          <w:lang w:val="fr-FR"/>
        </w:rPr>
        <w:t xml:space="preserve"> l</w:t>
      </w:r>
      <w:r w:rsidR="00357DC2" w:rsidRPr="00357DC2">
        <w:rPr>
          <w:lang w:val="fr-FR"/>
        </w:rPr>
        <w:t>’</w:t>
      </w:r>
      <w:r w:rsidRPr="00357DC2">
        <w:rPr>
          <w:lang w:val="fr-FR"/>
        </w:rPr>
        <w:t>arrêt de la Cour européenne a été diffusé aux autorités compétentes et a été publié sur les sites du Ministère de la Justice (www.giustizia.it) et de la Cour de cassation (www.cortedicassazione.it), ainsi que dans la base de données de la Cour de cassation sur la jurisprudence de la Cour européenne des droits de l</w:t>
      </w:r>
      <w:r w:rsidR="00357DC2" w:rsidRPr="00357DC2">
        <w:rPr>
          <w:lang w:val="fr-FR"/>
        </w:rPr>
        <w:t>’</w:t>
      </w:r>
      <w:r w:rsidRPr="00357DC2">
        <w:rPr>
          <w:lang w:val="fr-FR"/>
        </w:rPr>
        <w:t>homme (www.Italgiure.giustizia.it). Ce dernier site Internet est largement utilisé par tous les praticiens du droit en Italie, fonctionnaires, avocats, procureurs et juges.</w:t>
      </w:r>
      <w:r w:rsidR="004B6D98" w:rsidRPr="00357DC2">
        <w:rPr>
          <w:lang w:val="fr-FR"/>
        </w:rPr>
        <w:t> »</w:t>
      </w:r>
    </w:p>
    <w:p w:rsidR="00520396" w:rsidRPr="00357DC2" w:rsidRDefault="00FA1201" w:rsidP="00357DC2">
      <w:pPr>
        <w:pStyle w:val="ECHRHeading2"/>
        <w:rPr>
          <w:lang w:val="fr-FR"/>
        </w:rPr>
      </w:pPr>
      <w:r w:rsidRPr="00357DC2">
        <w:rPr>
          <w:lang w:val="fr-FR"/>
        </w:rPr>
        <w:t>C</w:t>
      </w:r>
      <w:r w:rsidR="00520396" w:rsidRPr="00357DC2">
        <w:rPr>
          <w:lang w:val="fr-FR"/>
        </w:rPr>
        <w:t>.  La procédure objet de la présente requête</w:t>
      </w:r>
    </w:p>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16</w:t>
      </w:r>
      <w:r w:rsidRPr="00357DC2">
        <w:rPr>
          <w:lang w:val="fr-FR"/>
        </w:rPr>
        <w:fldChar w:fldCharType="end"/>
      </w:r>
      <w:r w:rsidRPr="00357DC2">
        <w:rPr>
          <w:lang w:val="fr-FR"/>
        </w:rPr>
        <w:t>.  À la suite de l</w:t>
      </w:r>
      <w:r w:rsidR="00357DC2" w:rsidRPr="00357DC2">
        <w:rPr>
          <w:lang w:val="fr-FR"/>
        </w:rPr>
        <w:t>’</w:t>
      </w:r>
      <w:r w:rsidRPr="00357DC2">
        <w:rPr>
          <w:lang w:val="fr-FR"/>
        </w:rPr>
        <w:t xml:space="preserve">arrêt de la Cour concluant à la violation de la Convention, le requérant introduisit </w:t>
      </w:r>
      <w:r w:rsidR="009A185E" w:rsidRPr="00357DC2">
        <w:rPr>
          <w:lang w:val="fr-FR"/>
        </w:rPr>
        <w:t xml:space="preserve">le 19 février 2008 </w:t>
      </w:r>
      <w:r w:rsidRPr="00357DC2">
        <w:rPr>
          <w:lang w:val="fr-FR"/>
        </w:rPr>
        <w:t>une demande devant la cour d</w:t>
      </w:r>
      <w:r w:rsidR="00357DC2" w:rsidRPr="00357DC2">
        <w:rPr>
          <w:lang w:val="fr-FR"/>
        </w:rPr>
        <w:t>’</w:t>
      </w:r>
      <w:r w:rsidRPr="00357DC2">
        <w:rPr>
          <w:lang w:val="fr-FR"/>
        </w:rPr>
        <w:t>appel de Venise afin d</w:t>
      </w:r>
      <w:r w:rsidR="00357DC2" w:rsidRPr="00357DC2">
        <w:rPr>
          <w:lang w:val="fr-FR"/>
        </w:rPr>
        <w:t>’</w:t>
      </w:r>
      <w:r w:rsidRPr="00357DC2">
        <w:rPr>
          <w:lang w:val="fr-FR"/>
        </w:rPr>
        <w:t>obtenir une décision déclarant sa condamnation non exécutoire au titre de l</w:t>
      </w:r>
      <w:r w:rsidR="00357DC2" w:rsidRPr="00357DC2">
        <w:rPr>
          <w:lang w:val="fr-FR"/>
        </w:rPr>
        <w:t>’</w:t>
      </w:r>
      <w:r w:rsidRPr="00357DC2">
        <w:rPr>
          <w:lang w:val="fr-FR"/>
        </w:rPr>
        <w:t xml:space="preserve">article 670 du </w:t>
      </w:r>
      <w:r w:rsidR="0075612F" w:rsidRPr="00357DC2">
        <w:rPr>
          <w:lang w:val="fr-FR"/>
        </w:rPr>
        <w:t>CPP</w:t>
      </w:r>
      <w:r w:rsidRPr="00357DC2">
        <w:rPr>
          <w:lang w:val="fr-FR"/>
        </w:rPr>
        <w:t xml:space="preserve">. </w:t>
      </w:r>
      <w:r w:rsidR="000E5607" w:rsidRPr="00357DC2">
        <w:rPr>
          <w:lang w:val="fr-FR"/>
        </w:rPr>
        <w:t>Il</w:t>
      </w:r>
      <w:r w:rsidRPr="00357DC2">
        <w:rPr>
          <w:lang w:val="fr-FR"/>
        </w:rPr>
        <w:t xml:space="preserve"> alléguait que son intérêt à agir persistait en dépit du fait qu</w:t>
      </w:r>
      <w:r w:rsidR="00357DC2" w:rsidRPr="00357DC2">
        <w:rPr>
          <w:lang w:val="fr-FR"/>
        </w:rPr>
        <w:t>’</w:t>
      </w:r>
      <w:r w:rsidRPr="00357DC2">
        <w:rPr>
          <w:lang w:val="fr-FR"/>
        </w:rPr>
        <w:t xml:space="preserve">il avait entièrement purgé sa peine. En effet, </w:t>
      </w:r>
      <w:r w:rsidR="004B6D98" w:rsidRPr="00357DC2">
        <w:rPr>
          <w:lang w:val="fr-FR"/>
        </w:rPr>
        <w:t xml:space="preserve">selon le requérant, </w:t>
      </w:r>
      <w:r w:rsidRPr="00357DC2">
        <w:rPr>
          <w:lang w:val="fr-FR"/>
        </w:rPr>
        <w:t>la condamnation avait d</w:t>
      </w:r>
      <w:r w:rsidR="00357DC2" w:rsidRPr="00357DC2">
        <w:rPr>
          <w:lang w:val="fr-FR"/>
        </w:rPr>
        <w:t>’</w:t>
      </w:r>
      <w:r w:rsidRPr="00357DC2">
        <w:rPr>
          <w:lang w:val="fr-FR"/>
        </w:rPr>
        <w:t>autres conséquences (en particulier les interdictions et l</w:t>
      </w:r>
      <w:r w:rsidR="00357DC2" w:rsidRPr="00357DC2">
        <w:rPr>
          <w:lang w:val="fr-FR"/>
        </w:rPr>
        <w:t>’</w:t>
      </w:r>
      <w:r w:rsidRPr="00357DC2">
        <w:rPr>
          <w:lang w:val="fr-FR"/>
        </w:rPr>
        <w:t xml:space="preserve">inscription au casier judiciaire). </w:t>
      </w:r>
      <w:r w:rsidR="000E5607" w:rsidRPr="00357DC2">
        <w:rPr>
          <w:lang w:val="fr-FR"/>
        </w:rPr>
        <w:t>Le requérant</w:t>
      </w:r>
      <w:r w:rsidRPr="00357DC2">
        <w:rPr>
          <w:lang w:val="fr-FR"/>
        </w:rPr>
        <w:t xml:space="preserve"> demandait l</w:t>
      </w:r>
      <w:r w:rsidR="00357DC2" w:rsidRPr="00357DC2">
        <w:rPr>
          <w:lang w:val="fr-FR"/>
        </w:rPr>
        <w:t>’</w:t>
      </w:r>
      <w:r w:rsidRPr="00357DC2">
        <w:rPr>
          <w:lang w:val="fr-FR"/>
        </w:rPr>
        <w:t>annulation de sa condamnation</w:t>
      </w:r>
      <w:r w:rsidR="000E5607" w:rsidRPr="00357DC2">
        <w:rPr>
          <w:lang w:val="fr-FR"/>
        </w:rPr>
        <w:t xml:space="preserve"> et,</w:t>
      </w:r>
      <w:r w:rsidRPr="00357DC2">
        <w:rPr>
          <w:lang w:val="fr-FR"/>
        </w:rPr>
        <w:t xml:space="preserve"> subsidiairement</w:t>
      </w:r>
      <w:r w:rsidR="000E5607" w:rsidRPr="00357DC2">
        <w:rPr>
          <w:lang w:val="fr-FR"/>
        </w:rPr>
        <w:t>,</w:t>
      </w:r>
      <w:r w:rsidRPr="00357DC2">
        <w:rPr>
          <w:lang w:val="fr-FR"/>
        </w:rPr>
        <w:t xml:space="preserve"> l</w:t>
      </w:r>
      <w:r w:rsidR="00357DC2" w:rsidRPr="00357DC2">
        <w:rPr>
          <w:lang w:val="fr-FR"/>
        </w:rPr>
        <w:t>’</w:t>
      </w:r>
      <w:r w:rsidRPr="00357DC2">
        <w:rPr>
          <w:lang w:val="fr-FR"/>
        </w:rPr>
        <w:t>annulation de la partie concernant les faits de corruption.</w:t>
      </w:r>
    </w:p>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17</w:t>
      </w:r>
      <w:r w:rsidRPr="00357DC2">
        <w:rPr>
          <w:lang w:val="fr-FR"/>
        </w:rPr>
        <w:fldChar w:fldCharType="end"/>
      </w:r>
      <w:r w:rsidRPr="00357DC2">
        <w:rPr>
          <w:lang w:val="fr-FR"/>
        </w:rPr>
        <w:t xml:space="preserve">.  Dans </w:t>
      </w:r>
      <w:r w:rsidR="000E5607" w:rsidRPr="00357DC2">
        <w:rPr>
          <w:lang w:val="fr-FR"/>
        </w:rPr>
        <w:t xml:space="preserve">un </w:t>
      </w:r>
      <w:r w:rsidRPr="00357DC2">
        <w:rPr>
          <w:lang w:val="fr-FR"/>
        </w:rPr>
        <w:t>avis du 22 mai 2008, le ministère public estima</w:t>
      </w:r>
      <w:r w:rsidR="000E5607" w:rsidRPr="00357DC2">
        <w:rPr>
          <w:lang w:val="fr-FR"/>
        </w:rPr>
        <w:t>it</w:t>
      </w:r>
      <w:r w:rsidRPr="00357DC2">
        <w:rPr>
          <w:lang w:val="fr-FR"/>
        </w:rPr>
        <w:t xml:space="preserve"> que la déclaration selon laquelle la condamnation n</w:t>
      </w:r>
      <w:r w:rsidR="00357DC2" w:rsidRPr="00357DC2">
        <w:rPr>
          <w:lang w:val="fr-FR"/>
        </w:rPr>
        <w:t>’</w:t>
      </w:r>
      <w:r w:rsidRPr="00357DC2">
        <w:rPr>
          <w:lang w:val="fr-FR"/>
        </w:rPr>
        <w:t xml:space="preserve">était pas </w:t>
      </w:r>
      <w:r w:rsidR="004B6D98" w:rsidRPr="00357DC2">
        <w:rPr>
          <w:lang w:val="fr-FR"/>
        </w:rPr>
        <w:t>exécutoire</w:t>
      </w:r>
      <w:r w:rsidRPr="00357DC2">
        <w:rPr>
          <w:lang w:val="fr-FR"/>
        </w:rPr>
        <w:t xml:space="preserve"> </w:t>
      </w:r>
      <w:r w:rsidR="004B6D98" w:rsidRPr="00357DC2">
        <w:rPr>
          <w:lang w:val="fr-FR"/>
        </w:rPr>
        <w:t xml:space="preserve">serait suffisante </w:t>
      </w:r>
      <w:r w:rsidRPr="00357DC2">
        <w:rPr>
          <w:lang w:val="fr-FR"/>
        </w:rPr>
        <w:t xml:space="preserve">pour </w:t>
      </w:r>
      <w:r w:rsidR="000E5607" w:rsidRPr="00357DC2">
        <w:rPr>
          <w:lang w:val="fr-FR"/>
        </w:rPr>
        <w:t>que</w:t>
      </w:r>
      <w:r w:rsidRPr="00357DC2">
        <w:rPr>
          <w:lang w:val="fr-FR"/>
        </w:rPr>
        <w:t xml:space="preserve"> l</w:t>
      </w:r>
      <w:r w:rsidR="00357DC2" w:rsidRPr="00357DC2">
        <w:rPr>
          <w:lang w:val="fr-FR"/>
        </w:rPr>
        <w:t>’</w:t>
      </w:r>
      <w:r w:rsidRPr="00357DC2">
        <w:rPr>
          <w:lang w:val="fr-FR"/>
        </w:rPr>
        <w:t>arrêt de la Cour européenne des droits de l</w:t>
      </w:r>
      <w:r w:rsidR="00357DC2" w:rsidRPr="00357DC2">
        <w:rPr>
          <w:lang w:val="fr-FR"/>
        </w:rPr>
        <w:t>’</w:t>
      </w:r>
      <w:r w:rsidRPr="00357DC2">
        <w:rPr>
          <w:lang w:val="fr-FR"/>
        </w:rPr>
        <w:t>homme</w:t>
      </w:r>
      <w:r w:rsidR="000E5607" w:rsidRPr="00357DC2">
        <w:rPr>
          <w:lang w:val="fr-FR"/>
        </w:rPr>
        <w:t xml:space="preserve"> fût respecté</w:t>
      </w:r>
      <w:r w:rsidRPr="00357DC2">
        <w:rPr>
          <w:lang w:val="fr-FR"/>
        </w:rPr>
        <w:t>.</w:t>
      </w:r>
    </w:p>
    <w:p w:rsidR="007A6B24"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18</w:t>
      </w:r>
      <w:r w:rsidRPr="00357DC2">
        <w:rPr>
          <w:lang w:val="fr-FR"/>
        </w:rPr>
        <w:fldChar w:fldCharType="end"/>
      </w:r>
      <w:r w:rsidRPr="00357DC2">
        <w:rPr>
          <w:lang w:val="fr-FR"/>
        </w:rPr>
        <w:t>.  La cour d</w:t>
      </w:r>
      <w:r w:rsidR="00357DC2" w:rsidRPr="00357DC2">
        <w:rPr>
          <w:lang w:val="fr-FR"/>
        </w:rPr>
        <w:t>’</w:t>
      </w:r>
      <w:r w:rsidRPr="00357DC2">
        <w:rPr>
          <w:lang w:val="fr-FR"/>
        </w:rPr>
        <w:t>appel de Venise ne partagea pas l</w:t>
      </w:r>
      <w:r w:rsidR="00357DC2" w:rsidRPr="00357DC2">
        <w:rPr>
          <w:lang w:val="fr-FR"/>
        </w:rPr>
        <w:t>’</w:t>
      </w:r>
      <w:r w:rsidRPr="00357DC2">
        <w:rPr>
          <w:lang w:val="fr-FR"/>
        </w:rPr>
        <w:t>avis du ministère public. Le 4 juin 2008, après avoir reconnu l</w:t>
      </w:r>
      <w:r w:rsidR="00357DC2" w:rsidRPr="00357DC2">
        <w:rPr>
          <w:lang w:val="fr-FR"/>
        </w:rPr>
        <w:t>’</w:t>
      </w:r>
      <w:r w:rsidRPr="00357DC2">
        <w:rPr>
          <w:lang w:val="fr-FR"/>
        </w:rPr>
        <w:t>intérêt à agir du requérant et déclaré la condamnation non exécut</w:t>
      </w:r>
      <w:r w:rsidR="000E5607" w:rsidRPr="00357DC2">
        <w:rPr>
          <w:lang w:val="fr-FR"/>
        </w:rPr>
        <w:t>oire</w:t>
      </w:r>
      <w:r w:rsidRPr="00357DC2">
        <w:rPr>
          <w:lang w:val="fr-FR"/>
        </w:rPr>
        <w:t xml:space="preserve"> (pour la partie relative aux faits de corruption), elle estima que ce</w:t>
      </w:r>
      <w:r w:rsidR="00F06F6E" w:rsidRPr="00357DC2">
        <w:rPr>
          <w:lang w:val="fr-FR"/>
        </w:rPr>
        <w:t>la</w:t>
      </w:r>
      <w:r w:rsidRPr="00357DC2">
        <w:rPr>
          <w:lang w:val="fr-FR"/>
        </w:rPr>
        <w:t xml:space="preserve"> n</w:t>
      </w:r>
      <w:r w:rsidR="00357DC2" w:rsidRPr="00357DC2">
        <w:rPr>
          <w:lang w:val="fr-FR"/>
        </w:rPr>
        <w:t>’</w:t>
      </w:r>
      <w:r w:rsidRPr="00357DC2">
        <w:rPr>
          <w:lang w:val="fr-FR"/>
        </w:rPr>
        <w:t xml:space="preserve">était pas suffisant, </w:t>
      </w:r>
      <w:r w:rsidR="00F06F6E" w:rsidRPr="00357DC2">
        <w:rPr>
          <w:lang w:val="fr-FR"/>
        </w:rPr>
        <w:t>au motif qu</w:t>
      </w:r>
      <w:r w:rsidR="00357DC2" w:rsidRPr="00357DC2">
        <w:rPr>
          <w:lang w:val="fr-FR"/>
        </w:rPr>
        <w:t>’</w:t>
      </w:r>
      <w:r w:rsidRPr="00357DC2">
        <w:rPr>
          <w:lang w:val="fr-FR"/>
        </w:rPr>
        <w:t>une telle déclaration n</w:t>
      </w:r>
      <w:r w:rsidR="00357DC2" w:rsidRPr="00357DC2">
        <w:rPr>
          <w:lang w:val="fr-FR"/>
        </w:rPr>
        <w:t>’</w:t>
      </w:r>
      <w:r w:rsidRPr="00357DC2">
        <w:rPr>
          <w:lang w:val="fr-FR"/>
        </w:rPr>
        <w:t>entacherait pas l</w:t>
      </w:r>
      <w:r w:rsidR="00357DC2" w:rsidRPr="00357DC2">
        <w:rPr>
          <w:lang w:val="fr-FR"/>
        </w:rPr>
        <w:t>’</w:t>
      </w:r>
      <w:r w:rsidRPr="00357DC2">
        <w:rPr>
          <w:lang w:val="fr-FR"/>
        </w:rPr>
        <w:t>arrêt de condamnation en tant que tel</w:t>
      </w:r>
      <w:r w:rsidR="00F06F6E" w:rsidRPr="00357DC2">
        <w:rPr>
          <w:lang w:val="fr-FR"/>
        </w:rPr>
        <w:t xml:space="preserve"> et qu</w:t>
      </w:r>
      <w:r w:rsidR="00357DC2" w:rsidRPr="00357DC2">
        <w:rPr>
          <w:lang w:val="fr-FR"/>
        </w:rPr>
        <w:t>’</w:t>
      </w:r>
      <w:r w:rsidR="00F06F6E" w:rsidRPr="00357DC2">
        <w:rPr>
          <w:lang w:val="fr-FR"/>
        </w:rPr>
        <w:t>i</w:t>
      </w:r>
      <w:r w:rsidRPr="00357DC2">
        <w:rPr>
          <w:lang w:val="fr-FR"/>
        </w:rPr>
        <w:t>l fallait un remède pleinement restitutoire</w:t>
      </w:r>
      <w:r w:rsidR="000E5607" w:rsidRPr="00357DC2">
        <w:rPr>
          <w:lang w:val="fr-FR"/>
        </w:rPr>
        <w:t>, à savoir une décision déclarant l</w:t>
      </w:r>
      <w:r w:rsidR="00357DC2" w:rsidRPr="00357DC2">
        <w:rPr>
          <w:lang w:val="fr-FR"/>
        </w:rPr>
        <w:t>’</w:t>
      </w:r>
      <w:r w:rsidR="000E5607" w:rsidRPr="00357DC2">
        <w:rPr>
          <w:lang w:val="fr-FR"/>
        </w:rPr>
        <w:t>infraction de corruption prescrite</w:t>
      </w:r>
      <w:r w:rsidR="00F06F6E" w:rsidRPr="00357DC2">
        <w:rPr>
          <w:lang w:val="fr-FR"/>
        </w:rPr>
        <w:t>.</w:t>
      </w:r>
    </w:p>
    <w:p w:rsidR="00520396" w:rsidRPr="00357DC2" w:rsidRDefault="002D0007" w:rsidP="00357DC2">
      <w:pPr>
        <w:pStyle w:val="ECHRPara"/>
        <w:rPr>
          <w:lang w:val="fr-FR"/>
        </w:rPr>
      </w:pPr>
      <w:r w:rsidRPr="00357DC2">
        <w:rPr>
          <w:lang w:val="fr-FR"/>
        </w:rPr>
        <w:lastRenderedPageBreak/>
        <w:t>Selon la cour d</w:t>
      </w:r>
      <w:r w:rsidR="00357DC2" w:rsidRPr="00357DC2">
        <w:rPr>
          <w:lang w:val="fr-FR"/>
        </w:rPr>
        <w:t>’</w:t>
      </w:r>
      <w:r w:rsidRPr="00357DC2">
        <w:rPr>
          <w:lang w:val="fr-FR"/>
        </w:rPr>
        <w:t xml:space="preserve">appel, </w:t>
      </w:r>
      <w:r w:rsidR="00520396" w:rsidRPr="00357DC2">
        <w:rPr>
          <w:lang w:val="fr-FR"/>
        </w:rPr>
        <w:t xml:space="preserve">la Cour de cassation devait dès lors être à nouveau saisie du dossier afin </w:t>
      </w:r>
      <w:r w:rsidR="00F02776" w:rsidRPr="00357DC2">
        <w:rPr>
          <w:lang w:val="fr-FR"/>
        </w:rPr>
        <w:t xml:space="preserve">de déterminer </w:t>
      </w:r>
      <w:r w:rsidR="00520396" w:rsidRPr="00357DC2">
        <w:rPr>
          <w:lang w:val="fr-FR"/>
        </w:rPr>
        <w:t>la manière de se conformer à l</w:t>
      </w:r>
      <w:r w:rsidR="00357DC2" w:rsidRPr="00357DC2">
        <w:rPr>
          <w:lang w:val="fr-FR"/>
        </w:rPr>
        <w:t>’</w:t>
      </w:r>
      <w:r w:rsidR="00520396" w:rsidRPr="00357DC2">
        <w:rPr>
          <w:lang w:val="fr-FR"/>
        </w:rPr>
        <w:t>arrêt de la Cour européenne des droits de l</w:t>
      </w:r>
      <w:r w:rsidR="00357DC2" w:rsidRPr="00357DC2">
        <w:rPr>
          <w:lang w:val="fr-FR"/>
        </w:rPr>
        <w:t>’</w:t>
      </w:r>
      <w:r w:rsidR="00520396" w:rsidRPr="00357DC2">
        <w:rPr>
          <w:lang w:val="fr-FR"/>
        </w:rPr>
        <w:t>homme. Par conséquent, la cour d</w:t>
      </w:r>
      <w:r w:rsidR="00357DC2" w:rsidRPr="00357DC2">
        <w:rPr>
          <w:lang w:val="fr-FR"/>
        </w:rPr>
        <w:t>’</w:t>
      </w:r>
      <w:r w:rsidR="00520396" w:rsidRPr="00357DC2">
        <w:rPr>
          <w:lang w:val="fr-FR"/>
        </w:rPr>
        <w:t>appel transmit le dossier à la Cour de cassation.</w:t>
      </w:r>
    </w:p>
    <w:p w:rsidR="007A6B24"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19</w:t>
      </w:r>
      <w:r w:rsidRPr="00357DC2">
        <w:rPr>
          <w:lang w:val="fr-FR"/>
        </w:rPr>
        <w:fldChar w:fldCharType="end"/>
      </w:r>
      <w:r w:rsidRPr="00357DC2">
        <w:rPr>
          <w:lang w:val="fr-FR"/>
        </w:rPr>
        <w:t>.  Le requérant déposa un recours en cassation</w:t>
      </w:r>
      <w:r w:rsidR="00F06F6E" w:rsidRPr="00357DC2">
        <w:rPr>
          <w:lang w:val="fr-FR"/>
        </w:rPr>
        <w:t xml:space="preserve">. Il y </w:t>
      </w:r>
      <w:r w:rsidRPr="00357DC2">
        <w:rPr>
          <w:lang w:val="fr-FR"/>
        </w:rPr>
        <w:t xml:space="preserve">posait </w:t>
      </w:r>
      <w:r w:rsidR="00F02776" w:rsidRPr="00357DC2">
        <w:rPr>
          <w:lang w:val="fr-FR"/>
        </w:rPr>
        <w:t xml:space="preserve">la question </w:t>
      </w:r>
      <w:r w:rsidRPr="00357DC2">
        <w:rPr>
          <w:lang w:val="fr-FR"/>
        </w:rPr>
        <w:t>de savoir quelles étaient les limites et les particularités de la procédure qui s</w:t>
      </w:r>
      <w:r w:rsidR="00357DC2" w:rsidRPr="00357DC2">
        <w:rPr>
          <w:lang w:val="fr-FR"/>
        </w:rPr>
        <w:t>’</w:t>
      </w:r>
      <w:r w:rsidRPr="00357DC2">
        <w:rPr>
          <w:lang w:val="fr-FR"/>
        </w:rPr>
        <w:t xml:space="preserve">en suivrait. Selon lui, si la Cour de cassation requalifiait </w:t>
      </w:r>
      <w:r w:rsidR="004E57F2" w:rsidRPr="00357DC2">
        <w:rPr>
          <w:lang w:val="fr-FR"/>
        </w:rPr>
        <w:t>une nouvelle fois</w:t>
      </w:r>
      <w:r w:rsidRPr="00357DC2">
        <w:rPr>
          <w:lang w:val="fr-FR"/>
        </w:rPr>
        <w:t xml:space="preserve"> les faits </w:t>
      </w:r>
      <w:r w:rsidR="00F06F6E" w:rsidRPr="00357DC2">
        <w:rPr>
          <w:lang w:val="fr-FR"/>
        </w:rPr>
        <w:t xml:space="preserve">en </w:t>
      </w:r>
      <w:r w:rsidRPr="00357DC2">
        <w:rPr>
          <w:lang w:val="fr-FR"/>
        </w:rPr>
        <w:t>corruption dans des actes judiciaires, elle s</w:t>
      </w:r>
      <w:r w:rsidR="00357DC2" w:rsidRPr="00357DC2">
        <w:rPr>
          <w:lang w:val="fr-FR"/>
        </w:rPr>
        <w:t>’</w:t>
      </w:r>
      <w:r w:rsidRPr="00357DC2">
        <w:rPr>
          <w:lang w:val="fr-FR"/>
        </w:rPr>
        <w:t>exposerait à un deuxième constat de violation de la part de la Cour européenne des droits de l</w:t>
      </w:r>
      <w:r w:rsidR="00357DC2" w:rsidRPr="00357DC2">
        <w:rPr>
          <w:lang w:val="fr-FR"/>
        </w:rPr>
        <w:t>’</w:t>
      </w:r>
      <w:r w:rsidRPr="00357DC2">
        <w:rPr>
          <w:lang w:val="fr-FR"/>
        </w:rPr>
        <w:t xml:space="preserve">homme. </w:t>
      </w:r>
      <w:r w:rsidR="00F02776" w:rsidRPr="00357DC2">
        <w:rPr>
          <w:lang w:val="fr-FR"/>
        </w:rPr>
        <w:t>Le requérant exposait</w:t>
      </w:r>
      <w:r w:rsidR="00F06F6E" w:rsidRPr="00357DC2">
        <w:rPr>
          <w:lang w:val="fr-FR"/>
        </w:rPr>
        <w:t xml:space="preserve"> que s</w:t>
      </w:r>
      <w:r w:rsidRPr="00357DC2">
        <w:rPr>
          <w:lang w:val="fr-FR"/>
        </w:rPr>
        <w:t xml:space="preserve">euls les deux scénarios suivants étaient plausibles : </w:t>
      </w:r>
      <w:r w:rsidR="00F32387" w:rsidRPr="00357DC2">
        <w:rPr>
          <w:lang w:val="fr-FR"/>
        </w:rPr>
        <w:t xml:space="preserve">soit </w:t>
      </w:r>
      <w:r w:rsidRPr="00357DC2">
        <w:rPr>
          <w:lang w:val="fr-FR"/>
        </w:rPr>
        <w:t>les juges remett</w:t>
      </w:r>
      <w:r w:rsidR="00F32387" w:rsidRPr="00357DC2">
        <w:rPr>
          <w:lang w:val="fr-FR"/>
        </w:rPr>
        <w:t>ai</w:t>
      </w:r>
      <w:r w:rsidRPr="00357DC2">
        <w:rPr>
          <w:lang w:val="fr-FR"/>
        </w:rPr>
        <w:t xml:space="preserve">ent complètement en cause la </w:t>
      </w:r>
      <w:r w:rsidRPr="00357DC2">
        <w:rPr>
          <w:i/>
          <w:lang w:val="fr-FR"/>
        </w:rPr>
        <w:t>res judicata</w:t>
      </w:r>
      <w:r w:rsidRPr="00357DC2">
        <w:rPr>
          <w:lang w:val="fr-FR"/>
        </w:rPr>
        <w:t xml:space="preserve"> et </w:t>
      </w:r>
      <w:r w:rsidR="009A185E" w:rsidRPr="00357DC2">
        <w:rPr>
          <w:lang w:val="fr-FR"/>
        </w:rPr>
        <w:t xml:space="preserve">ils </w:t>
      </w:r>
      <w:r w:rsidRPr="00357DC2">
        <w:rPr>
          <w:lang w:val="fr-FR"/>
        </w:rPr>
        <w:t>annul</w:t>
      </w:r>
      <w:r w:rsidR="00F32387" w:rsidRPr="00357DC2">
        <w:rPr>
          <w:lang w:val="fr-FR"/>
        </w:rPr>
        <w:t>ai</w:t>
      </w:r>
      <w:r w:rsidRPr="00357DC2">
        <w:rPr>
          <w:lang w:val="fr-FR"/>
        </w:rPr>
        <w:t xml:space="preserve">ent entièrement la condamnation, </w:t>
      </w:r>
      <w:r w:rsidR="00F06F6E" w:rsidRPr="00357DC2">
        <w:rPr>
          <w:lang w:val="fr-FR"/>
        </w:rPr>
        <w:t>dès lors</w:t>
      </w:r>
      <w:r w:rsidRPr="00357DC2">
        <w:rPr>
          <w:lang w:val="fr-FR"/>
        </w:rPr>
        <w:t xml:space="preserve"> que celle-ci a</w:t>
      </w:r>
      <w:r w:rsidR="00F06F6E" w:rsidRPr="00357DC2">
        <w:rPr>
          <w:lang w:val="fr-FR"/>
        </w:rPr>
        <w:t>ur</w:t>
      </w:r>
      <w:r w:rsidRPr="00357DC2">
        <w:rPr>
          <w:lang w:val="fr-FR"/>
        </w:rPr>
        <w:t>ait été prononcée à l</w:t>
      </w:r>
      <w:r w:rsidR="00357DC2" w:rsidRPr="00357DC2">
        <w:rPr>
          <w:lang w:val="fr-FR"/>
        </w:rPr>
        <w:t>’</w:t>
      </w:r>
      <w:r w:rsidRPr="00357DC2">
        <w:rPr>
          <w:lang w:val="fr-FR"/>
        </w:rPr>
        <w:t>issue d</w:t>
      </w:r>
      <w:r w:rsidR="00357DC2" w:rsidRPr="00357DC2">
        <w:rPr>
          <w:lang w:val="fr-FR"/>
        </w:rPr>
        <w:t>’</w:t>
      </w:r>
      <w:r w:rsidRPr="00357DC2">
        <w:rPr>
          <w:lang w:val="fr-FR"/>
        </w:rPr>
        <w:t xml:space="preserve">une procédure jugée inéquitable ; </w:t>
      </w:r>
      <w:r w:rsidR="002D0007" w:rsidRPr="00357DC2">
        <w:rPr>
          <w:lang w:val="fr-FR"/>
        </w:rPr>
        <w:t xml:space="preserve">soit </w:t>
      </w:r>
      <w:r w:rsidRPr="00357DC2">
        <w:rPr>
          <w:lang w:val="fr-FR"/>
        </w:rPr>
        <w:t>ils déclar</w:t>
      </w:r>
      <w:r w:rsidR="002D0007" w:rsidRPr="00357DC2">
        <w:rPr>
          <w:lang w:val="fr-FR"/>
        </w:rPr>
        <w:t>ai</w:t>
      </w:r>
      <w:r w:rsidRPr="00357DC2">
        <w:rPr>
          <w:lang w:val="fr-FR"/>
        </w:rPr>
        <w:t>ent l</w:t>
      </w:r>
      <w:r w:rsidR="00357DC2" w:rsidRPr="00357DC2">
        <w:rPr>
          <w:lang w:val="fr-FR"/>
        </w:rPr>
        <w:t>’</w:t>
      </w:r>
      <w:r w:rsidRPr="00357DC2">
        <w:rPr>
          <w:lang w:val="fr-FR"/>
        </w:rPr>
        <w:t xml:space="preserve">infraction de corruption simple prescrite et </w:t>
      </w:r>
      <w:r w:rsidR="002D0007" w:rsidRPr="00357DC2">
        <w:rPr>
          <w:lang w:val="fr-FR"/>
        </w:rPr>
        <w:t xml:space="preserve">ils </w:t>
      </w:r>
      <w:r w:rsidRPr="00357DC2">
        <w:rPr>
          <w:lang w:val="fr-FR"/>
        </w:rPr>
        <w:t>recalcul</w:t>
      </w:r>
      <w:r w:rsidR="002D0007" w:rsidRPr="00357DC2">
        <w:rPr>
          <w:lang w:val="fr-FR"/>
        </w:rPr>
        <w:t>ai</w:t>
      </w:r>
      <w:r w:rsidRPr="00357DC2">
        <w:rPr>
          <w:lang w:val="fr-FR"/>
        </w:rPr>
        <w:t>ent la peine en conséquence.</w:t>
      </w:r>
      <w:r w:rsidR="00194C67" w:rsidRPr="00357DC2">
        <w:rPr>
          <w:lang w:val="fr-FR"/>
        </w:rPr>
        <w:t xml:space="preserve"> </w:t>
      </w:r>
      <w:r w:rsidR="00F06F6E" w:rsidRPr="00357DC2">
        <w:rPr>
          <w:lang w:val="fr-FR"/>
        </w:rPr>
        <w:t>Par conséquent</w:t>
      </w:r>
      <w:r w:rsidR="00194C67" w:rsidRPr="00357DC2">
        <w:rPr>
          <w:lang w:val="fr-FR"/>
        </w:rPr>
        <w:t xml:space="preserve">, </w:t>
      </w:r>
      <w:r w:rsidR="00F06F6E" w:rsidRPr="00357DC2">
        <w:rPr>
          <w:lang w:val="fr-FR"/>
        </w:rPr>
        <w:t>le requérant</w:t>
      </w:r>
      <w:r w:rsidR="00194C67" w:rsidRPr="00357DC2">
        <w:rPr>
          <w:lang w:val="fr-FR"/>
        </w:rPr>
        <w:t xml:space="preserve"> demanda</w:t>
      </w:r>
      <w:r w:rsidR="00D62B7F" w:rsidRPr="00357DC2">
        <w:rPr>
          <w:lang w:val="fr-FR"/>
        </w:rPr>
        <w:t>it</w:t>
      </w:r>
      <w:r w:rsidR="009E1336" w:rsidRPr="00357DC2">
        <w:rPr>
          <w:lang w:val="fr-FR"/>
        </w:rPr>
        <w:t xml:space="preserve"> </w:t>
      </w:r>
      <w:r w:rsidR="00D62B7F" w:rsidRPr="00357DC2">
        <w:rPr>
          <w:lang w:val="fr-FR"/>
        </w:rPr>
        <w:t xml:space="preserve">à </w:t>
      </w:r>
      <w:r w:rsidR="009E1336" w:rsidRPr="00357DC2">
        <w:rPr>
          <w:lang w:val="fr-FR"/>
        </w:rPr>
        <w:t xml:space="preserve">la </w:t>
      </w:r>
      <w:r w:rsidR="00F06F6E" w:rsidRPr="00357DC2">
        <w:rPr>
          <w:lang w:val="fr-FR"/>
        </w:rPr>
        <w:t xml:space="preserve">Cour de </w:t>
      </w:r>
      <w:r w:rsidR="009E1336" w:rsidRPr="00357DC2">
        <w:rPr>
          <w:lang w:val="fr-FR"/>
        </w:rPr>
        <w:t>c</w:t>
      </w:r>
      <w:r w:rsidR="00194C67" w:rsidRPr="00357DC2">
        <w:rPr>
          <w:lang w:val="fr-FR"/>
        </w:rPr>
        <w:t xml:space="preserve">assation </w:t>
      </w:r>
      <w:r w:rsidR="00D62B7F" w:rsidRPr="00357DC2">
        <w:rPr>
          <w:lang w:val="fr-FR"/>
        </w:rPr>
        <w:t>d</w:t>
      </w:r>
      <w:r w:rsidR="00357DC2" w:rsidRPr="00357DC2">
        <w:rPr>
          <w:lang w:val="fr-FR"/>
        </w:rPr>
        <w:t>’</w:t>
      </w:r>
      <w:r w:rsidR="00194C67" w:rsidRPr="00357DC2">
        <w:rPr>
          <w:lang w:val="fr-FR"/>
        </w:rPr>
        <w:t>annule</w:t>
      </w:r>
      <w:r w:rsidR="00D62B7F" w:rsidRPr="00357DC2">
        <w:rPr>
          <w:lang w:val="fr-FR"/>
        </w:rPr>
        <w:t>r</w:t>
      </w:r>
      <w:r w:rsidR="00194C67" w:rsidRPr="00357DC2">
        <w:rPr>
          <w:lang w:val="fr-FR"/>
        </w:rPr>
        <w:t xml:space="preserve"> sans renvoi sa condamnation pour corruption ou, à défaut, </w:t>
      </w:r>
      <w:r w:rsidR="00D62B7F" w:rsidRPr="00357DC2">
        <w:rPr>
          <w:lang w:val="fr-FR"/>
        </w:rPr>
        <w:t xml:space="preserve">de </w:t>
      </w:r>
      <w:r w:rsidR="00194C67" w:rsidRPr="00357DC2">
        <w:rPr>
          <w:lang w:val="fr-FR"/>
        </w:rPr>
        <w:t>déclare</w:t>
      </w:r>
      <w:r w:rsidR="00D62B7F" w:rsidRPr="00357DC2">
        <w:rPr>
          <w:lang w:val="fr-FR"/>
        </w:rPr>
        <w:t>r</w:t>
      </w:r>
      <w:r w:rsidR="00194C67" w:rsidRPr="00357DC2">
        <w:rPr>
          <w:lang w:val="fr-FR"/>
        </w:rPr>
        <w:t xml:space="preserve"> les faits prescrits.</w:t>
      </w:r>
    </w:p>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20</w:t>
      </w:r>
      <w:r w:rsidRPr="00357DC2">
        <w:rPr>
          <w:lang w:val="fr-FR"/>
        </w:rPr>
        <w:fldChar w:fldCharType="end"/>
      </w:r>
      <w:r w:rsidRPr="00357DC2">
        <w:rPr>
          <w:lang w:val="fr-FR"/>
        </w:rPr>
        <w:t xml:space="preserve">.  Le 12 novembre 2008, une audience eut lieu devant la Cour de cassation. Il ressort du dossier que le procureur général </w:t>
      </w:r>
      <w:r w:rsidR="00F06F6E" w:rsidRPr="00357DC2">
        <w:rPr>
          <w:lang w:val="fr-FR"/>
        </w:rPr>
        <w:t xml:space="preserve">a </w:t>
      </w:r>
      <w:r w:rsidRPr="00357DC2">
        <w:rPr>
          <w:lang w:val="fr-FR"/>
        </w:rPr>
        <w:t>demand</w:t>
      </w:r>
      <w:r w:rsidR="00F06F6E" w:rsidRPr="00357DC2">
        <w:rPr>
          <w:lang w:val="fr-FR"/>
        </w:rPr>
        <w:t>é</w:t>
      </w:r>
      <w:r w:rsidRPr="00357DC2">
        <w:rPr>
          <w:lang w:val="fr-FR"/>
        </w:rPr>
        <w:t xml:space="preserve"> la révocation de l</w:t>
      </w:r>
      <w:r w:rsidR="00357DC2" w:rsidRPr="00357DC2">
        <w:rPr>
          <w:lang w:val="fr-FR"/>
        </w:rPr>
        <w:t>’</w:t>
      </w:r>
      <w:r w:rsidRPr="00357DC2">
        <w:rPr>
          <w:lang w:val="fr-FR"/>
        </w:rPr>
        <w:t xml:space="preserve">arrêt de la Cour </w:t>
      </w:r>
      <w:r w:rsidR="00D62B7F" w:rsidRPr="00357DC2">
        <w:rPr>
          <w:lang w:val="fr-FR"/>
        </w:rPr>
        <w:t xml:space="preserve">de cassation </w:t>
      </w:r>
      <w:r w:rsidRPr="00357DC2">
        <w:rPr>
          <w:lang w:val="fr-FR"/>
        </w:rPr>
        <w:t xml:space="preserve">du 4 janvier 2004 et </w:t>
      </w:r>
      <w:r w:rsidR="009E1336" w:rsidRPr="00357DC2">
        <w:rPr>
          <w:lang w:val="fr-FR"/>
        </w:rPr>
        <w:t>la cassation</w:t>
      </w:r>
      <w:r w:rsidRPr="00357DC2">
        <w:rPr>
          <w:lang w:val="fr-FR"/>
        </w:rPr>
        <w:t xml:space="preserve"> sans renvoi de l</w:t>
      </w:r>
      <w:r w:rsidR="00357DC2" w:rsidRPr="00357DC2">
        <w:rPr>
          <w:lang w:val="fr-FR"/>
        </w:rPr>
        <w:t>’</w:t>
      </w:r>
      <w:r w:rsidRPr="00357DC2">
        <w:rPr>
          <w:lang w:val="fr-FR"/>
        </w:rPr>
        <w:t>arrêt de la cour d</w:t>
      </w:r>
      <w:r w:rsidR="00357DC2" w:rsidRPr="00357DC2">
        <w:rPr>
          <w:lang w:val="fr-FR"/>
        </w:rPr>
        <w:t>’</w:t>
      </w:r>
      <w:r w:rsidRPr="00357DC2">
        <w:rPr>
          <w:lang w:val="fr-FR"/>
        </w:rPr>
        <w:t>appel de Venise du 12</w:t>
      </w:r>
      <w:r w:rsidR="00971805" w:rsidRPr="00357DC2">
        <w:rPr>
          <w:lang w:val="fr-FR"/>
        </w:rPr>
        <w:t> </w:t>
      </w:r>
      <w:r w:rsidR="0034726C" w:rsidRPr="00357DC2">
        <w:rPr>
          <w:lang w:val="fr-FR"/>
        </w:rPr>
        <w:t>juin</w:t>
      </w:r>
      <w:r w:rsidR="00971805" w:rsidRPr="00357DC2">
        <w:rPr>
          <w:lang w:val="fr-FR"/>
        </w:rPr>
        <w:t> </w:t>
      </w:r>
      <w:r w:rsidRPr="00357DC2">
        <w:rPr>
          <w:lang w:val="fr-FR"/>
        </w:rPr>
        <w:t>2002 au motif que l</w:t>
      </w:r>
      <w:r w:rsidR="00357DC2" w:rsidRPr="00357DC2">
        <w:rPr>
          <w:lang w:val="fr-FR"/>
        </w:rPr>
        <w:t>’</w:t>
      </w:r>
      <w:r w:rsidRPr="00357DC2">
        <w:rPr>
          <w:lang w:val="fr-FR"/>
        </w:rPr>
        <w:t>infraction de corruption était prescrite.</w:t>
      </w:r>
    </w:p>
    <w:bookmarkStart w:id="2" w:name="arrêt2008"/>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21</w:t>
      </w:r>
      <w:r w:rsidRPr="00357DC2">
        <w:rPr>
          <w:lang w:val="fr-FR"/>
        </w:rPr>
        <w:fldChar w:fldCharType="end"/>
      </w:r>
      <w:bookmarkEnd w:id="2"/>
      <w:r w:rsidRPr="00357DC2">
        <w:rPr>
          <w:lang w:val="fr-FR"/>
        </w:rPr>
        <w:t>.  Par un arrêt du 12 novembre 2008, la Cour de cassation estima que le cas d</w:t>
      </w:r>
      <w:r w:rsidR="00357DC2" w:rsidRPr="00357DC2">
        <w:rPr>
          <w:lang w:val="fr-FR"/>
        </w:rPr>
        <w:t>’</w:t>
      </w:r>
      <w:r w:rsidRPr="00357DC2">
        <w:rPr>
          <w:lang w:val="fr-FR"/>
        </w:rPr>
        <w:t xml:space="preserve">espèce était différent </w:t>
      </w:r>
      <w:r w:rsidR="00DD612A" w:rsidRPr="00357DC2">
        <w:rPr>
          <w:lang w:val="fr-FR"/>
        </w:rPr>
        <w:t>de</w:t>
      </w:r>
      <w:r w:rsidRPr="00357DC2">
        <w:rPr>
          <w:lang w:val="fr-FR"/>
        </w:rPr>
        <w:t xml:space="preserve"> celui où l</w:t>
      </w:r>
      <w:r w:rsidR="00357DC2" w:rsidRPr="00357DC2">
        <w:rPr>
          <w:lang w:val="fr-FR"/>
        </w:rPr>
        <w:t>’</w:t>
      </w:r>
      <w:r w:rsidRPr="00357DC2">
        <w:rPr>
          <w:lang w:val="fr-FR"/>
        </w:rPr>
        <w:t>accusé avait été jugé par contumace et qu</w:t>
      </w:r>
      <w:r w:rsidR="00357DC2" w:rsidRPr="00357DC2">
        <w:rPr>
          <w:lang w:val="fr-FR"/>
        </w:rPr>
        <w:t>’</w:t>
      </w:r>
      <w:r w:rsidRPr="00357DC2">
        <w:rPr>
          <w:lang w:val="fr-FR"/>
        </w:rPr>
        <w:t>il n</w:t>
      </w:r>
      <w:r w:rsidR="00357DC2" w:rsidRPr="00357DC2">
        <w:rPr>
          <w:lang w:val="fr-FR"/>
        </w:rPr>
        <w:t>’</w:t>
      </w:r>
      <w:r w:rsidRPr="00357DC2">
        <w:rPr>
          <w:lang w:val="fr-FR"/>
        </w:rPr>
        <w:t xml:space="preserve">était dès lors pas nécessaire de rouvrir la procédure sur le fond. </w:t>
      </w:r>
      <w:r w:rsidR="00DD612A" w:rsidRPr="00357DC2">
        <w:rPr>
          <w:lang w:val="fr-FR"/>
        </w:rPr>
        <w:t>Elle considéra qu</w:t>
      </w:r>
      <w:r w:rsidR="00357DC2" w:rsidRPr="00357DC2">
        <w:rPr>
          <w:lang w:val="fr-FR"/>
        </w:rPr>
        <w:t>’</w:t>
      </w:r>
      <w:r w:rsidR="00DD612A" w:rsidRPr="00357DC2">
        <w:rPr>
          <w:lang w:val="fr-FR"/>
        </w:rPr>
        <w:t>i</w:t>
      </w:r>
      <w:r w:rsidRPr="00357DC2">
        <w:rPr>
          <w:lang w:val="fr-FR"/>
        </w:rPr>
        <w:t>l suffisait de corriger l</w:t>
      </w:r>
      <w:r w:rsidR="00357DC2" w:rsidRPr="00357DC2">
        <w:rPr>
          <w:lang w:val="fr-FR"/>
        </w:rPr>
        <w:t>’</w:t>
      </w:r>
      <w:r w:rsidRPr="00357DC2">
        <w:rPr>
          <w:lang w:val="fr-FR"/>
        </w:rPr>
        <w:t>erreur procédurale en donnant à l</w:t>
      </w:r>
      <w:r w:rsidR="00357DC2" w:rsidRPr="00357DC2">
        <w:rPr>
          <w:lang w:val="fr-FR"/>
        </w:rPr>
        <w:t>’</w:t>
      </w:r>
      <w:r w:rsidRPr="00357DC2">
        <w:rPr>
          <w:lang w:val="fr-FR"/>
        </w:rPr>
        <w:t xml:space="preserve">accusé la possibilité de </w:t>
      </w:r>
      <w:r w:rsidR="00BE3E5B" w:rsidRPr="00357DC2">
        <w:rPr>
          <w:lang w:val="fr-FR"/>
        </w:rPr>
        <w:t>débattre</w:t>
      </w:r>
      <w:r w:rsidRPr="00357DC2">
        <w:rPr>
          <w:lang w:val="fr-FR"/>
        </w:rPr>
        <w:t xml:space="preserve"> (</w:t>
      </w:r>
      <w:r w:rsidRPr="00357DC2">
        <w:rPr>
          <w:i/>
          <w:lang w:val="fr-FR"/>
        </w:rPr>
        <w:t>interloquire</w:t>
      </w:r>
      <w:r w:rsidRPr="00357DC2">
        <w:rPr>
          <w:lang w:val="fr-FR"/>
        </w:rPr>
        <w:t xml:space="preserve">) à propos de la requalification des faits de corruption. </w:t>
      </w:r>
      <w:r w:rsidR="00DD612A" w:rsidRPr="00357DC2">
        <w:rPr>
          <w:lang w:val="fr-FR"/>
        </w:rPr>
        <w:t>Notant que l</w:t>
      </w:r>
      <w:r w:rsidRPr="00357DC2">
        <w:rPr>
          <w:lang w:val="fr-FR"/>
        </w:rPr>
        <w:t>e problème constaté par la Cour européenne était la violation du droit à être informé de la nature et des raisons de l</w:t>
      </w:r>
      <w:r w:rsidR="00357DC2" w:rsidRPr="00357DC2">
        <w:rPr>
          <w:lang w:val="fr-FR"/>
        </w:rPr>
        <w:t>’</w:t>
      </w:r>
      <w:r w:rsidRPr="00357DC2">
        <w:rPr>
          <w:lang w:val="fr-FR"/>
        </w:rPr>
        <w:t xml:space="preserve">accusation et la violation du droit </w:t>
      </w:r>
      <w:r w:rsidR="00E7288B" w:rsidRPr="00357DC2">
        <w:rPr>
          <w:lang w:val="fr-FR"/>
        </w:rPr>
        <w:t>à</w:t>
      </w:r>
      <w:r w:rsidRPr="00357DC2">
        <w:rPr>
          <w:lang w:val="fr-FR"/>
        </w:rPr>
        <w:t xml:space="preserve"> disposer du temps et des facilités nécessaires pour sa défense</w:t>
      </w:r>
      <w:r w:rsidR="00DD612A" w:rsidRPr="00357DC2">
        <w:rPr>
          <w:lang w:val="fr-FR"/>
        </w:rPr>
        <w:t>, elle indiqua que l</w:t>
      </w:r>
      <w:r w:rsidR="00357DC2" w:rsidRPr="00357DC2">
        <w:rPr>
          <w:lang w:val="fr-FR"/>
        </w:rPr>
        <w:t>’</w:t>
      </w:r>
      <w:r w:rsidR="00DD612A" w:rsidRPr="00357DC2">
        <w:rPr>
          <w:lang w:val="fr-FR"/>
        </w:rPr>
        <w:t>o</w:t>
      </w:r>
      <w:r w:rsidRPr="00357DC2">
        <w:rPr>
          <w:lang w:val="fr-FR"/>
        </w:rPr>
        <w:t>n pouvait y remédier en appliquant par analogie l</w:t>
      </w:r>
      <w:r w:rsidR="00357DC2" w:rsidRPr="00357DC2">
        <w:rPr>
          <w:lang w:val="fr-FR"/>
        </w:rPr>
        <w:t>’</w:t>
      </w:r>
      <w:r w:rsidRPr="00357DC2">
        <w:rPr>
          <w:lang w:val="fr-FR"/>
        </w:rPr>
        <w:t>article 625</w:t>
      </w:r>
      <w:r w:rsidR="00E91D9C" w:rsidRPr="00357DC2">
        <w:rPr>
          <w:lang w:val="fr-FR"/>
        </w:rPr>
        <w:t xml:space="preserve"> </w:t>
      </w:r>
      <w:r w:rsidRPr="00357DC2">
        <w:rPr>
          <w:i/>
          <w:lang w:val="fr-FR"/>
        </w:rPr>
        <w:t xml:space="preserve">bis </w:t>
      </w:r>
      <w:r w:rsidRPr="00357DC2">
        <w:rPr>
          <w:lang w:val="fr-FR"/>
        </w:rPr>
        <w:t xml:space="preserve">du </w:t>
      </w:r>
      <w:r w:rsidR="0075612F" w:rsidRPr="00357DC2">
        <w:rPr>
          <w:lang w:val="fr-FR"/>
        </w:rPr>
        <w:t>CPP</w:t>
      </w:r>
      <w:r w:rsidRPr="00357DC2">
        <w:rPr>
          <w:lang w:val="fr-FR"/>
        </w:rPr>
        <w:t xml:space="preserve"> prévoya</w:t>
      </w:r>
      <w:r w:rsidR="00DD612A" w:rsidRPr="00357DC2">
        <w:rPr>
          <w:lang w:val="fr-FR"/>
        </w:rPr>
        <w:t>n</w:t>
      </w:r>
      <w:r w:rsidRPr="00357DC2">
        <w:rPr>
          <w:lang w:val="fr-FR"/>
        </w:rPr>
        <w:t>t la correction des erreurs matérielles. En conclusion, la Cour</w:t>
      </w:r>
      <w:r w:rsidR="00E91D9C" w:rsidRPr="00357DC2">
        <w:rPr>
          <w:lang w:val="fr-FR"/>
        </w:rPr>
        <w:t xml:space="preserve"> de cassation</w:t>
      </w:r>
      <w:r w:rsidR="00DD612A" w:rsidRPr="00357DC2">
        <w:rPr>
          <w:lang w:val="fr-FR"/>
        </w:rPr>
        <w:t xml:space="preserve"> </w:t>
      </w:r>
      <w:r w:rsidRPr="00357DC2">
        <w:rPr>
          <w:lang w:val="fr-FR"/>
        </w:rPr>
        <w:t>décida de révoquer la partie de la</w:t>
      </w:r>
      <w:r w:rsidRPr="00357DC2">
        <w:rPr>
          <w:i/>
          <w:lang w:val="fr-FR"/>
        </w:rPr>
        <w:t xml:space="preserve"> res judicata </w:t>
      </w:r>
      <w:r w:rsidRPr="00357DC2">
        <w:rPr>
          <w:lang w:val="fr-FR"/>
        </w:rPr>
        <w:t>subséquente à la violation des droits de la défense, à savoir la partie portant sur les faits qualifiés de corruption dans des actes judiciaires au sens de l</w:t>
      </w:r>
      <w:r w:rsidR="00357DC2" w:rsidRPr="00357DC2">
        <w:rPr>
          <w:lang w:val="fr-FR"/>
        </w:rPr>
        <w:t>’</w:t>
      </w:r>
      <w:r w:rsidRPr="00357DC2">
        <w:rPr>
          <w:lang w:val="fr-FR"/>
        </w:rPr>
        <w:t>article 319</w:t>
      </w:r>
      <w:r w:rsidR="00E91D9C" w:rsidRPr="00357DC2">
        <w:rPr>
          <w:lang w:val="fr-FR"/>
        </w:rPr>
        <w:t xml:space="preserve"> </w:t>
      </w:r>
      <w:r w:rsidRPr="00357DC2">
        <w:rPr>
          <w:i/>
          <w:lang w:val="fr-FR"/>
        </w:rPr>
        <w:t>ter</w:t>
      </w:r>
      <w:r w:rsidRPr="00357DC2">
        <w:rPr>
          <w:lang w:val="fr-FR"/>
        </w:rPr>
        <w:t xml:space="preserve"> du </w:t>
      </w:r>
      <w:r w:rsidR="009C1D54" w:rsidRPr="00357DC2">
        <w:rPr>
          <w:lang w:val="fr-FR"/>
        </w:rPr>
        <w:t>CP</w:t>
      </w:r>
      <w:r w:rsidRPr="00357DC2">
        <w:rPr>
          <w:lang w:val="fr-FR"/>
        </w:rPr>
        <w:t>. Elle décida qu</w:t>
      </w:r>
      <w:r w:rsidR="00357DC2" w:rsidRPr="00357DC2">
        <w:rPr>
          <w:lang w:val="fr-FR"/>
        </w:rPr>
        <w:t>’</w:t>
      </w:r>
      <w:r w:rsidRPr="00357DC2">
        <w:rPr>
          <w:lang w:val="fr-FR"/>
        </w:rPr>
        <w:t>elle procéderait à un nouvel examen (</w:t>
      </w:r>
      <w:r w:rsidRPr="00357DC2">
        <w:rPr>
          <w:i/>
          <w:lang w:val="fr-FR"/>
        </w:rPr>
        <w:t>trattazione</w:t>
      </w:r>
      <w:r w:rsidRPr="00357DC2">
        <w:rPr>
          <w:lang w:val="fr-FR"/>
        </w:rPr>
        <w:t>) du pourvoi en cassation introduit par le requérant contre l</w:t>
      </w:r>
      <w:r w:rsidR="00357DC2" w:rsidRPr="00357DC2">
        <w:rPr>
          <w:lang w:val="fr-FR"/>
        </w:rPr>
        <w:t>’</w:t>
      </w:r>
      <w:r w:rsidRPr="00357DC2">
        <w:rPr>
          <w:lang w:val="fr-FR"/>
        </w:rPr>
        <w:t>arrêt de la cour d</w:t>
      </w:r>
      <w:r w:rsidR="00357DC2" w:rsidRPr="00357DC2">
        <w:rPr>
          <w:lang w:val="fr-FR"/>
        </w:rPr>
        <w:t>’</w:t>
      </w:r>
      <w:r w:rsidRPr="00357DC2">
        <w:rPr>
          <w:lang w:val="fr-FR"/>
        </w:rPr>
        <w:t>appel rendu en 2002</w:t>
      </w:r>
      <w:r w:rsidR="000E46ED" w:rsidRPr="00357DC2">
        <w:rPr>
          <w:lang w:val="fr-FR"/>
        </w:rPr>
        <w:t>,</w:t>
      </w:r>
      <w:r w:rsidR="001225FE" w:rsidRPr="00357DC2">
        <w:rPr>
          <w:lang w:val="fr-FR"/>
        </w:rPr>
        <w:t xml:space="preserve"> </w:t>
      </w:r>
      <w:r w:rsidR="009D1AEB" w:rsidRPr="00357DC2">
        <w:rPr>
          <w:lang w:val="fr-FR"/>
        </w:rPr>
        <w:t>en relation</w:t>
      </w:r>
      <w:r w:rsidR="00B852FA" w:rsidRPr="00357DC2">
        <w:rPr>
          <w:lang w:val="fr-FR"/>
        </w:rPr>
        <w:t xml:space="preserve"> </w:t>
      </w:r>
      <w:r w:rsidR="008F3F8F" w:rsidRPr="00357DC2">
        <w:rPr>
          <w:lang w:val="fr-FR"/>
        </w:rPr>
        <w:t>notamment</w:t>
      </w:r>
      <w:r w:rsidR="00B852FA" w:rsidRPr="00357DC2">
        <w:rPr>
          <w:lang w:val="fr-FR"/>
        </w:rPr>
        <w:t xml:space="preserve"> </w:t>
      </w:r>
      <w:r w:rsidR="009C1D54" w:rsidRPr="00357DC2">
        <w:rPr>
          <w:lang w:val="fr-FR"/>
        </w:rPr>
        <w:t xml:space="preserve">avec </w:t>
      </w:r>
      <w:r w:rsidR="000E46ED" w:rsidRPr="00357DC2">
        <w:rPr>
          <w:lang w:val="fr-FR"/>
        </w:rPr>
        <w:t xml:space="preserve">la question de </w:t>
      </w:r>
      <w:r w:rsidR="00B852FA" w:rsidRPr="00357DC2">
        <w:rPr>
          <w:lang w:val="fr-FR"/>
        </w:rPr>
        <w:t xml:space="preserve">la </w:t>
      </w:r>
      <w:r w:rsidR="000E46ED" w:rsidRPr="00357DC2">
        <w:rPr>
          <w:lang w:val="fr-FR"/>
        </w:rPr>
        <w:t xml:space="preserve">qualification juridique </w:t>
      </w:r>
      <w:r w:rsidR="00BE3E5B" w:rsidRPr="00357DC2">
        <w:rPr>
          <w:lang w:val="fr-FR"/>
        </w:rPr>
        <w:t>des faits</w:t>
      </w:r>
      <w:r w:rsidRPr="00357DC2">
        <w:rPr>
          <w:lang w:val="fr-FR"/>
        </w:rPr>
        <w:t>.</w:t>
      </w:r>
    </w:p>
    <w:p w:rsidR="007A6B24" w:rsidRPr="00357DC2" w:rsidRDefault="00520396" w:rsidP="00357DC2">
      <w:pPr>
        <w:pStyle w:val="ECHRPara"/>
        <w:keepNext/>
        <w:keepLines/>
        <w:rPr>
          <w:lang w:val="fr-FR"/>
        </w:rPr>
      </w:pPr>
      <w:r w:rsidRPr="00357DC2">
        <w:rPr>
          <w:lang w:val="fr-FR"/>
        </w:rPr>
        <w:lastRenderedPageBreak/>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22</w:t>
      </w:r>
      <w:r w:rsidRPr="00357DC2">
        <w:rPr>
          <w:lang w:val="fr-FR"/>
        </w:rPr>
        <w:fldChar w:fldCharType="end"/>
      </w:r>
      <w:r w:rsidRPr="00357DC2">
        <w:rPr>
          <w:lang w:val="fr-FR"/>
        </w:rPr>
        <w:t xml:space="preserve">.  Dans </w:t>
      </w:r>
      <w:r w:rsidR="003956A4" w:rsidRPr="00357DC2">
        <w:rPr>
          <w:lang w:val="fr-FR"/>
        </w:rPr>
        <w:t>un mémoire daté du</w:t>
      </w:r>
      <w:r w:rsidR="00D6116D" w:rsidRPr="00357DC2">
        <w:rPr>
          <w:lang w:val="fr-FR"/>
        </w:rPr>
        <w:t xml:space="preserve"> 10 mars </w:t>
      </w:r>
      <w:r w:rsidR="003956A4" w:rsidRPr="00357DC2">
        <w:rPr>
          <w:lang w:val="fr-FR"/>
        </w:rPr>
        <w:t xml:space="preserve">2009, </w:t>
      </w:r>
      <w:r w:rsidRPr="00357DC2">
        <w:rPr>
          <w:lang w:val="fr-FR"/>
        </w:rPr>
        <w:t>le requérant exprima</w:t>
      </w:r>
      <w:r w:rsidR="009C1D54" w:rsidRPr="00357DC2">
        <w:rPr>
          <w:lang w:val="fr-FR"/>
        </w:rPr>
        <w:t>it</w:t>
      </w:r>
      <w:r w:rsidRPr="00357DC2">
        <w:rPr>
          <w:lang w:val="fr-FR"/>
        </w:rPr>
        <w:t xml:space="preserve"> ses doutes quant à la portée de cette décision, </w:t>
      </w:r>
      <w:r w:rsidR="009C1D54" w:rsidRPr="00357DC2">
        <w:rPr>
          <w:lang w:val="fr-FR"/>
        </w:rPr>
        <w:t>se demanda</w:t>
      </w:r>
      <w:r w:rsidR="00E91D9C" w:rsidRPr="00357DC2">
        <w:rPr>
          <w:lang w:val="fr-FR"/>
        </w:rPr>
        <w:t>nt</w:t>
      </w:r>
      <w:r w:rsidRPr="00357DC2">
        <w:rPr>
          <w:lang w:val="fr-FR"/>
        </w:rPr>
        <w:t xml:space="preserve"> si la </w:t>
      </w:r>
      <w:r w:rsidRPr="00357DC2">
        <w:rPr>
          <w:i/>
          <w:lang w:val="fr-FR"/>
        </w:rPr>
        <w:t>res judicata</w:t>
      </w:r>
      <w:r w:rsidRPr="00357DC2">
        <w:rPr>
          <w:lang w:val="fr-FR"/>
        </w:rPr>
        <w:t xml:space="preserve"> avait été remise en question ou non. Il </w:t>
      </w:r>
      <w:r w:rsidR="00E91D9C" w:rsidRPr="00357DC2">
        <w:rPr>
          <w:lang w:val="fr-FR"/>
        </w:rPr>
        <w:t xml:space="preserve">indiquait </w:t>
      </w:r>
      <w:r w:rsidRPr="00357DC2">
        <w:rPr>
          <w:lang w:val="fr-FR"/>
        </w:rPr>
        <w:t>qu</w:t>
      </w:r>
      <w:r w:rsidR="00357DC2" w:rsidRPr="00357DC2">
        <w:rPr>
          <w:lang w:val="fr-FR"/>
        </w:rPr>
        <w:t>’</w:t>
      </w:r>
      <w:r w:rsidRPr="00357DC2">
        <w:rPr>
          <w:lang w:val="fr-FR"/>
        </w:rPr>
        <w:t>il n</w:t>
      </w:r>
      <w:r w:rsidR="00357DC2" w:rsidRPr="00357DC2">
        <w:rPr>
          <w:lang w:val="fr-FR"/>
        </w:rPr>
        <w:t>’</w:t>
      </w:r>
      <w:r w:rsidRPr="00357DC2">
        <w:rPr>
          <w:lang w:val="fr-FR"/>
        </w:rPr>
        <w:t>y avait pas eu de contestation formelle de l</w:t>
      </w:r>
      <w:r w:rsidR="00357DC2" w:rsidRPr="00357DC2">
        <w:rPr>
          <w:lang w:val="fr-FR"/>
        </w:rPr>
        <w:t>’</w:t>
      </w:r>
      <w:r w:rsidRPr="00357DC2">
        <w:rPr>
          <w:lang w:val="fr-FR"/>
        </w:rPr>
        <w:t>infraction de corruption dans des actes judiciaires et que l</w:t>
      </w:r>
      <w:r w:rsidR="00357DC2" w:rsidRPr="00357DC2">
        <w:rPr>
          <w:lang w:val="fr-FR"/>
        </w:rPr>
        <w:t>’</w:t>
      </w:r>
      <w:r w:rsidRPr="00357DC2">
        <w:rPr>
          <w:lang w:val="fr-FR"/>
        </w:rPr>
        <w:t>on ignorait sur quoi porterait l</w:t>
      </w:r>
      <w:r w:rsidR="00357DC2" w:rsidRPr="00357DC2">
        <w:rPr>
          <w:lang w:val="fr-FR"/>
        </w:rPr>
        <w:t>’</w:t>
      </w:r>
      <w:r w:rsidRPr="00357DC2">
        <w:rPr>
          <w:lang w:val="fr-FR"/>
        </w:rPr>
        <w:t>audience fixée par la C</w:t>
      </w:r>
      <w:r w:rsidR="009C1D54" w:rsidRPr="00357DC2">
        <w:rPr>
          <w:lang w:val="fr-FR"/>
        </w:rPr>
        <w:t>our de c</w:t>
      </w:r>
      <w:r w:rsidRPr="00357DC2">
        <w:rPr>
          <w:lang w:val="fr-FR"/>
        </w:rPr>
        <w:t xml:space="preserve">assation. </w:t>
      </w:r>
      <w:r w:rsidR="00E91D9C" w:rsidRPr="00357DC2">
        <w:rPr>
          <w:lang w:val="fr-FR"/>
        </w:rPr>
        <w:t>Selon le requérant</w:t>
      </w:r>
      <w:r w:rsidR="009C1D54" w:rsidRPr="00357DC2">
        <w:rPr>
          <w:lang w:val="fr-FR"/>
        </w:rPr>
        <w:t>, e</w:t>
      </w:r>
      <w:r w:rsidRPr="00357DC2">
        <w:rPr>
          <w:lang w:val="fr-FR"/>
        </w:rPr>
        <w:t xml:space="preserve">n effet, le ministère public ou la </w:t>
      </w:r>
      <w:r w:rsidR="00E91D9C" w:rsidRPr="00357DC2">
        <w:rPr>
          <w:lang w:val="fr-FR"/>
        </w:rPr>
        <w:t>C</w:t>
      </w:r>
      <w:r w:rsidRPr="00357DC2">
        <w:rPr>
          <w:lang w:val="fr-FR"/>
        </w:rPr>
        <w:t xml:space="preserve">our </w:t>
      </w:r>
      <w:r w:rsidR="00E91D9C" w:rsidRPr="00357DC2">
        <w:rPr>
          <w:lang w:val="fr-FR"/>
        </w:rPr>
        <w:t>de cassation elle-</w:t>
      </w:r>
      <w:r w:rsidRPr="00357DC2">
        <w:rPr>
          <w:lang w:val="fr-FR"/>
        </w:rPr>
        <w:t>même pouvaient décider de ne plus se poser la question de</w:t>
      </w:r>
      <w:r w:rsidR="00F83CE1" w:rsidRPr="00357DC2">
        <w:rPr>
          <w:lang w:val="fr-FR"/>
        </w:rPr>
        <w:t xml:space="preserve"> la requalification des faits. </w:t>
      </w:r>
      <w:r w:rsidR="00E91D9C" w:rsidRPr="00357DC2">
        <w:rPr>
          <w:lang w:val="fr-FR"/>
        </w:rPr>
        <w:t>Le requérant</w:t>
      </w:r>
      <w:r w:rsidR="009C1D54" w:rsidRPr="00357DC2">
        <w:rPr>
          <w:lang w:val="fr-FR"/>
        </w:rPr>
        <w:t xml:space="preserve"> précisait que</w:t>
      </w:r>
      <w:r w:rsidRPr="00357DC2">
        <w:rPr>
          <w:lang w:val="fr-FR"/>
        </w:rPr>
        <w:t xml:space="preserve"> la Cour de cassation pouvait annuler toute la condamnation litigieuse </w:t>
      </w:r>
      <w:r w:rsidR="009C1D54" w:rsidRPr="00357DC2">
        <w:rPr>
          <w:lang w:val="fr-FR"/>
        </w:rPr>
        <w:t>au motif qu</w:t>
      </w:r>
      <w:r w:rsidR="00357DC2" w:rsidRPr="00357DC2">
        <w:rPr>
          <w:lang w:val="fr-FR"/>
        </w:rPr>
        <w:t>’</w:t>
      </w:r>
      <w:r w:rsidRPr="00357DC2">
        <w:rPr>
          <w:lang w:val="fr-FR"/>
        </w:rPr>
        <w:t>elle avait été rendue à l</w:t>
      </w:r>
      <w:r w:rsidR="00357DC2" w:rsidRPr="00357DC2">
        <w:rPr>
          <w:lang w:val="fr-FR"/>
        </w:rPr>
        <w:t>’</w:t>
      </w:r>
      <w:r w:rsidRPr="00357DC2">
        <w:rPr>
          <w:lang w:val="fr-FR"/>
        </w:rPr>
        <w:t>issue d</w:t>
      </w:r>
      <w:r w:rsidR="00357DC2" w:rsidRPr="00357DC2">
        <w:rPr>
          <w:lang w:val="fr-FR"/>
        </w:rPr>
        <w:t>’</w:t>
      </w:r>
      <w:r w:rsidRPr="00357DC2">
        <w:rPr>
          <w:lang w:val="fr-FR"/>
        </w:rPr>
        <w:t>une procédure inéquitable</w:t>
      </w:r>
      <w:r w:rsidR="00F83CE1" w:rsidRPr="00357DC2">
        <w:rPr>
          <w:lang w:val="fr-FR"/>
        </w:rPr>
        <w:t>.</w:t>
      </w:r>
      <w:r w:rsidR="009C1D54" w:rsidRPr="00357DC2">
        <w:rPr>
          <w:lang w:val="fr-FR"/>
        </w:rPr>
        <w:t xml:space="preserve"> Il estimait e</w:t>
      </w:r>
      <w:r w:rsidR="00903A30" w:rsidRPr="00357DC2">
        <w:rPr>
          <w:lang w:val="fr-FR"/>
        </w:rPr>
        <w:t>n revanche</w:t>
      </w:r>
      <w:r w:rsidR="009C1D54" w:rsidRPr="00357DC2">
        <w:rPr>
          <w:lang w:val="fr-FR"/>
        </w:rPr>
        <w:t xml:space="preserve"> que,</w:t>
      </w:r>
      <w:r w:rsidR="00903A30" w:rsidRPr="00357DC2">
        <w:rPr>
          <w:lang w:val="fr-FR"/>
        </w:rPr>
        <w:t xml:space="preserve"> d</w:t>
      </w:r>
      <w:r w:rsidRPr="00357DC2">
        <w:rPr>
          <w:lang w:val="fr-FR"/>
        </w:rPr>
        <w:t xml:space="preserve">ans le cas où la Cour de cassation </w:t>
      </w:r>
      <w:r w:rsidR="009C1D54" w:rsidRPr="00357DC2">
        <w:rPr>
          <w:lang w:val="fr-FR"/>
        </w:rPr>
        <w:t xml:space="preserve">jugerait </w:t>
      </w:r>
      <w:r w:rsidRPr="00357DC2">
        <w:rPr>
          <w:lang w:val="fr-FR"/>
        </w:rPr>
        <w:t xml:space="preserve">que la </w:t>
      </w:r>
      <w:r w:rsidRPr="00357DC2">
        <w:rPr>
          <w:i/>
          <w:lang w:val="fr-FR"/>
        </w:rPr>
        <w:t>res judicata</w:t>
      </w:r>
      <w:r w:rsidRPr="00357DC2">
        <w:rPr>
          <w:lang w:val="fr-FR"/>
        </w:rPr>
        <w:t xml:space="preserve"> n</w:t>
      </w:r>
      <w:r w:rsidR="00357DC2" w:rsidRPr="00357DC2">
        <w:rPr>
          <w:lang w:val="fr-FR"/>
        </w:rPr>
        <w:t>’</w:t>
      </w:r>
      <w:r w:rsidRPr="00357DC2">
        <w:rPr>
          <w:lang w:val="fr-FR"/>
        </w:rPr>
        <w:t xml:space="preserve">était pas </w:t>
      </w:r>
      <w:r w:rsidR="00E91D9C" w:rsidRPr="00357DC2">
        <w:rPr>
          <w:lang w:val="fr-FR"/>
        </w:rPr>
        <w:t xml:space="preserve">à remettre </w:t>
      </w:r>
      <w:r w:rsidRPr="00357DC2">
        <w:rPr>
          <w:lang w:val="fr-FR"/>
        </w:rPr>
        <w:t xml:space="preserve">en question, les juges auraient </w:t>
      </w:r>
      <w:r w:rsidR="00E91D9C" w:rsidRPr="00357DC2">
        <w:rPr>
          <w:lang w:val="fr-FR"/>
        </w:rPr>
        <w:t xml:space="preserve">alors </w:t>
      </w:r>
      <w:r w:rsidRPr="00357DC2">
        <w:rPr>
          <w:lang w:val="fr-FR"/>
        </w:rPr>
        <w:t>comme seule issue de déclarer prescrite l</w:t>
      </w:r>
      <w:r w:rsidR="00357DC2" w:rsidRPr="00357DC2">
        <w:rPr>
          <w:lang w:val="fr-FR"/>
        </w:rPr>
        <w:t>’</w:t>
      </w:r>
      <w:r w:rsidRPr="00357DC2">
        <w:rPr>
          <w:lang w:val="fr-FR"/>
        </w:rPr>
        <w:t xml:space="preserve">infraction de corruption simple, celle-ci étant la seule infraction </w:t>
      </w:r>
      <w:r w:rsidR="00E91D9C" w:rsidRPr="00357DC2">
        <w:rPr>
          <w:lang w:val="fr-FR"/>
        </w:rPr>
        <w:t xml:space="preserve">qui lui aurait été formellement reprochée </w:t>
      </w:r>
      <w:r w:rsidRPr="00357DC2">
        <w:rPr>
          <w:lang w:val="fr-FR"/>
        </w:rPr>
        <w:t xml:space="preserve">au moment </w:t>
      </w:r>
      <w:r w:rsidR="00E91D9C" w:rsidRPr="00357DC2">
        <w:rPr>
          <w:lang w:val="fr-FR"/>
        </w:rPr>
        <w:t xml:space="preserve">de la saisine, en 2002, de </w:t>
      </w:r>
      <w:r w:rsidRPr="00357DC2">
        <w:rPr>
          <w:lang w:val="fr-FR"/>
        </w:rPr>
        <w:t>la Cour de cassation.</w:t>
      </w:r>
      <w:r w:rsidR="00F83CE1" w:rsidRPr="00357DC2">
        <w:rPr>
          <w:lang w:val="fr-FR"/>
        </w:rPr>
        <w:t xml:space="preserve"> Enfin, </w:t>
      </w:r>
      <w:r w:rsidR="009C1D54" w:rsidRPr="00357DC2">
        <w:rPr>
          <w:lang w:val="fr-FR"/>
        </w:rPr>
        <w:t xml:space="preserve">il </w:t>
      </w:r>
      <w:r w:rsidR="00F6669B" w:rsidRPr="00357DC2">
        <w:rPr>
          <w:lang w:val="fr-FR"/>
        </w:rPr>
        <w:t>considér</w:t>
      </w:r>
      <w:r w:rsidR="009C1D54" w:rsidRPr="00357DC2">
        <w:rPr>
          <w:lang w:val="fr-FR"/>
        </w:rPr>
        <w:t xml:space="preserve">ait que, </w:t>
      </w:r>
      <w:r w:rsidR="00F83CE1" w:rsidRPr="00357DC2">
        <w:rPr>
          <w:lang w:val="fr-FR"/>
        </w:rPr>
        <w:t>dans l</w:t>
      </w:r>
      <w:r w:rsidR="00357DC2" w:rsidRPr="00357DC2">
        <w:rPr>
          <w:lang w:val="fr-FR"/>
        </w:rPr>
        <w:t>’</w:t>
      </w:r>
      <w:r w:rsidR="00F83CE1" w:rsidRPr="00357DC2">
        <w:rPr>
          <w:lang w:val="fr-FR"/>
        </w:rPr>
        <w:t xml:space="preserve">hypothèse où la </w:t>
      </w:r>
      <w:r w:rsidR="00F6669B" w:rsidRPr="00357DC2">
        <w:rPr>
          <w:lang w:val="fr-FR"/>
        </w:rPr>
        <w:t xml:space="preserve">Cour de </w:t>
      </w:r>
      <w:r w:rsidR="00F83CE1" w:rsidRPr="00357DC2">
        <w:rPr>
          <w:lang w:val="fr-FR"/>
        </w:rPr>
        <w:t>cassation décide</w:t>
      </w:r>
      <w:r w:rsidR="00421F56" w:rsidRPr="00357DC2">
        <w:rPr>
          <w:lang w:val="fr-FR"/>
        </w:rPr>
        <w:t>rait</w:t>
      </w:r>
      <w:r w:rsidR="00F83CE1" w:rsidRPr="00357DC2">
        <w:rPr>
          <w:lang w:val="fr-FR"/>
        </w:rPr>
        <w:t xml:space="preserve"> </w:t>
      </w:r>
      <w:r w:rsidR="00D6116D" w:rsidRPr="00357DC2">
        <w:rPr>
          <w:lang w:val="fr-FR"/>
        </w:rPr>
        <w:t xml:space="preserve">tout de même </w:t>
      </w:r>
      <w:r w:rsidR="00F83CE1" w:rsidRPr="00357DC2">
        <w:rPr>
          <w:lang w:val="fr-FR"/>
        </w:rPr>
        <w:t xml:space="preserve">de </w:t>
      </w:r>
      <w:r w:rsidR="00903A30" w:rsidRPr="00357DC2">
        <w:rPr>
          <w:lang w:val="fr-FR"/>
        </w:rPr>
        <w:t xml:space="preserve">requalifier les faits en corruption dans des actes judiciaires, elle </w:t>
      </w:r>
      <w:r w:rsidR="00F6669B" w:rsidRPr="00357DC2">
        <w:rPr>
          <w:lang w:val="fr-FR"/>
        </w:rPr>
        <w:t>devrait</w:t>
      </w:r>
      <w:r w:rsidR="00903A30" w:rsidRPr="00357DC2">
        <w:rPr>
          <w:lang w:val="fr-FR"/>
        </w:rPr>
        <w:t xml:space="preserve"> constater que cette infraction était</w:t>
      </w:r>
      <w:r w:rsidR="00F83CE1" w:rsidRPr="00357DC2">
        <w:rPr>
          <w:lang w:val="fr-FR"/>
        </w:rPr>
        <w:t xml:space="preserve"> </w:t>
      </w:r>
      <w:r w:rsidR="00D6116D" w:rsidRPr="00357DC2">
        <w:rPr>
          <w:lang w:val="fr-FR"/>
        </w:rPr>
        <w:t xml:space="preserve">également </w:t>
      </w:r>
      <w:r w:rsidR="00F83CE1" w:rsidRPr="00357DC2">
        <w:rPr>
          <w:lang w:val="fr-FR"/>
        </w:rPr>
        <w:t>prescrite.</w:t>
      </w:r>
      <w:r w:rsidR="005F4354" w:rsidRPr="00357DC2">
        <w:rPr>
          <w:lang w:val="fr-FR"/>
        </w:rPr>
        <w:t xml:space="preserve"> </w:t>
      </w:r>
      <w:r w:rsidR="00F83CE1" w:rsidRPr="00357DC2">
        <w:rPr>
          <w:lang w:val="fr-FR"/>
        </w:rPr>
        <w:t>En co</w:t>
      </w:r>
      <w:r w:rsidR="009E1336" w:rsidRPr="00357DC2">
        <w:rPr>
          <w:lang w:val="fr-FR"/>
        </w:rPr>
        <w:t>nclusion, le requérant demanda</w:t>
      </w:r>
      <w:r w:rsidR="009C1D54" w:rsidRPr="00357DC2">
        <w:rPr>
          <w:lang w:val="fr-FR"/>
        </w:rPr>
        <w:t>it</w:t>
      </w:r>
      <w:r w:rsidR="009E1336" w:rsidRPr="00357DC2">
        <w:rPr>
          <w:lang w:val="fr-FR"/>
        </w:rPr>
        <w:t xml:space="preserve"> la cassation</w:t>
      </w:r>
      <w:r w:rsidR="00F83CE1" w:rsidRPr="00357DC2">
        <w:rPr>
          <w:lang w:val="fr-FR"/>
        </w:rPr>
        <w:t xml:space="preserve"> sans renvoi </w:t>
      </w:r>
      <w:r w:rsidR="009E1336" w:rsidRPr="00357DC2">
        <w:rPr>
          <w:lang w:val="fr-FR"/>
        </w:rPr>
        <w:t xml:space="preserve">de </w:t>
      </w:r>
      <w:r w:rsidR="00F83CE1" w:rsidRPr="00357DC2">
        <w:rPr>
          <w:lang w:val="fr-FR"/>
        </w:rPr>
        <w:t>l</w:t>
      </w:r>
      <w:r w:rsidR="00357DC2" w:rsidRPr="00357DC2">
        <w:rPr>
          <w:lang w:val="fr-FR"/>
        </w:rPr>
        <w:t>’</w:t>
      </w:r>
      <w:r w:rsidR="00F83CE1" w:rsidRPr="00357DC2">
        <w:rPr>
          <w:lang w:val="fr-FR"/>
        </w:rPr>
        <w:t>arrêt de condamnation rendu par la cour d</w:t>
      </w:r>
      <w:r w:rsidR="00357DC2" w:rsidRPr="00357DC2">
        <w:rPr>
          <w:lang w:val="fr-FR"/>
        </w:rPr>
        <w:t>’</w:t>
      </w:r>
      <w:r w:rsidR="00F83CE1" w:rsidRPr="00357DC2">
        <w:rPr>
          <w:lang w:val="fr-FR"/>
        </w:rPr>
        <w:t>appel en 2002</w:t>
      </w:r>
      <w:r w:rsidR="00416921" w:rsidRPr="00357DC2">
        <w:rPr>
          <w:lang w:val="fr-FR"/>
        </w:rPr>
        <w:t xml:space="preserve"> en raison de </w:t>
      </w:r>
      <w:r w:rsidR="009C1D54" w:rsidRPr="00357DC2">
        <w:rPr>
          <w:lang w:val="fr-FR"/>
        </w:rPr>
        <w:t xml:space="preserve">la </w:t>
      </w:r>
      <w:r w:rsidR="00416921" w:rsidRPr="00357DC2">
        <w:rPr>
          <w:lang w:val="fr-FR"/>
        </w:rPr>
        <w:t>prescription.</w:t>
      </w:r>
    </w:p>
    <w:p w:rsidR="003956A4" w:rsidRPr="00357DC2" w:rsidRDefault="003956A4"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23</w:t>
      </w:r>
      <w:r w:rsidRPr="00357DC2">
        <w:rPr>
          <w:lang w:val="fr-FR"/>
        </w:rPr>
        <w:fldChar w:fldCharType="end"/>
      </w:r>
      <w:r w:rsidRPr="00357DC2">
        <w:rPr>
          <w:lang w:val="fr-FR"/>
        </w:rPr>
        <w:t xml:space="preserve">.  Le 6 mai 2009, le requérant </w:t>
      </w:r>
      <w:r w:rsidR="00A22A07" w:rsidRPr="00357DC2">
        <w:rPr>
          <w:lang w:val="fr-FR"/>
        </w:rPr>
        <w:t>déposa</w:t>
      </w:r>
      <w:r w:rsidRPr="00357DC2">
        <w:rPr>
          <w:lang w:val="fr-FR"/>
        </w:rPr>
        <w:t xml:space="preserve"> un </w:t>
      </w:r>
      <w:r w:rsidR="00421F56" w:rsidRPr="00357DC2">
        <w:rPr>
          <w:lang w:val="fr-FR"/>
        </w:rPr>
        <w:t>deuxième</w:t>
      </w:r>
      <w:r w:rsidRPr="00357DC2">
        <w:rPr>
          <w:lang w:val="fr-FR"/>
        </w:rPr>
        <w:t xml:space="preserve"> mémoire dans lequel il </w:t>
      </w:r>
      <w:r w:rsidR="009C1D54" w:rsidRPr="00357DC2">
        <w:rPr>
          <w:lang w:val="fr-FR"/>
        </w:rPr>
        <w:t xml:space="preserve">ajoutait </w:t>
      </w:r>
      <w:r w:rsidRPr="00357DC2">
        <w:rPr>
          <w:lang w:val="fr-FR"/>
        </w:rPr>
        <w:t xml:space="preserve">des précisions concernant le critère de calcul </w:t>
      </w:r>
      <w:r w:rsidR="003D0160" w:rsidRPr="00357DC2">
        <w:rPr>
          <w:lang w:val="fr-FR"/>
        </w:rPr>
        <w:t>du</w:t>
      </w:r>
      <w:r w:rsidRPr="00357DC2">
        <w:rPr>
          <w:lang w:val="fr-FR"/>
        </w:rPr>
        <w:t xml:space="preserve"> délai de prescription</w:t>
      </w:r>
      <w:r w:rsidR="00205D6A" w:rsidRPr="00357DC2">
        <w:rPr>
          <w:lang w:val="fr-FR"/>
        </w:rPr>
        <w:t xml:space="preserve"> relatif </w:t>
      </w:r>
      <w:r w:rsidR="003D0160" w:rsidRPr="00357DC2">
        <w:rPr>
          <w:lang w:val="fr-FR"/>
        </w:rPr>
        <w:t>au délit de</w:t>
      </w:r>
      <w:r w:rsidR="00205D6A" w:rsidRPr="00357DC2">
        <w:rPr>
          <w:lang w:val="fr-FR"/>
        </w:rPr>
        <w:t xml:space="preserve"> corruption dans des actes judiciaires</w:t>
      </w:r>
      <w:r w:rsidRPr="00357DC2">
        <w:rPr>
          <w:lang w:val="fr-FR"/>
        </w:rPr>
        <w:t>.</w:t>
      </w:r>
    </w:p>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24</w:t>
      </w:r>
      <w:r w:rsidRPr="00357DC2">
        <w:rPr>
          <w:lang w:val="fr-FR"/>
        </w:rPr>
        <w:fldChar w:fldCharType="end"/>
      </w:r>
      <w:r w:rsidRPr="00357DC2">
        <w:rPr>
          <w:lang w:val="fr-FR"/>
        </w:rPr>
        <w:t>.  </w:t>
      </w:r>
      <w:r w:rsidR="008F3F8F" w:rsidRPr="00357DC2">
        <w:rPr>
          <w:lang w:val="fr-FR"/>
        </w:rPr>
        <w:t xml:space="preserve">Lors de </w:t>
      </w:r>
      <w:r w:rsidRPr="00357DC2">
        <w:rPr>
          <w:lang w:val="fr-FR"/>
        </w:rPr>
        <w:t>l</w:t>
      </w:r>
      <w:r w:rsidR="00357DC2" w:rsidRPr="00357DC2">
        <w:rPr>
          <w:lang w:val="fr-FR"/>
        </w:rPr>
        <w:t>’</w:t>
      </w:r>
      <w:r w:rsidRPr="00357DC2">
        <w:rPr>
          <w:lang w:val="fr-FR"/>
        </w:rPr>
        <w:t xml:space="preserve">audience devant la Cour de cassation </w:t>
      </w:r>
      <w:r w:rsidR="008F3F8F" w:rsidRPr="00357DC2">
        <w:rPr>
          <w:lang w:val="fr-FR"/>
        </w:rPr>
        <w:t xml:space="preserve">du </w:t>
      </w:r>
      <w:r w:rsidRPr="00357DC2">
        <w:rPr>
          <w:lang w:val="fr-FR"/>
        </w:rPr>
        <w:t>31 mars 2009, les défenseurs du requérant demandèrent le report de l</w:t>
      </w:r>
      <w:r w:rsidR="00357DC2" w:rsidRPr="00357DC2">
        <w:rPr>
          <w:lang w:val="fr-FR"/>
        </w:rPr>
        <w:t>’</w:t>
      </w:r>
      <w:r w:rsidRPr="00357DC2">
        <w:rPr>
          <w:lang w:val="fr-FR"/>
        </w:rPr>
        <w:t>audience en raison d</w:t>
      </w:r>
      <w:r w:rsidR="00357DC2" w:rsidRPr="00357DC2">
        <w:rPr>
          <w:lang w:val="fr-FR"/>
        </w:rPr>
        <w:t>’</w:t>
      </w:r>
      <w:r w:rsidRPr="00357DC2">
        <w:rPr>
          <w:lang w:val="fr-FR"/>
        </w:rPr>
        <w:t>une grève des avocats. L</w:t>
      </w:r>
      <w:r w:rsidR="00357DC2" w:rsidRPr="00357DC2">
        <w:rPr>
          <w:lang w:val="fr-FR"/>
        </w:rPr>
        <w:t>’</w:t>
      </w:r>
      <w:r w:rsidRPr="00357DC2">
        <w:rPr>
          <w:lang w:val="fr-FR"/>
        </w:rPr>
        <w:t>audience fut reportée au 25 mai 2009.</w:t>
      </w:r>
    </w:p>
    <w:p w:rsidR="0056662C"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25</w:t>
      </w:r>
      <w:r w:rsidRPr="00357DC2">
        <w:rPr>
          <w:lang w:val="fr-FR"/>
        </w:rPr>
        <w:fldChar w:fldCharType="end"/>
      </w:r>
      <w:r w:rsidRPr="00357DC2">
        <w:rPr>
          <w:lang w:val="fr-FR"/>
        </w:rPr>
        <w:t>.  </w:t>
      </w:r>
      <w:r w:rsidR="008F3F8F" w:rsidRPr="00357DC2">
        <w:rPr>
          <w:lang w:val="fr-FR"/>
        </w:rPr>
        <w:t xml:space="preserve">Lors de </w:t>
      </w:r>
      <w:r w:rsidRPr="00357DC2">
        <w:rPr>
          <w:lang w:val="fr-FR"/>
        </w:rPr>
        <w:t>l</w:t>
      </w:r>
      <w:r w:rsidR="00357DC2" w:rsidRPr="00357DC2">
        <w:rPr>
          <w:lang w:val="fr-FR"/>
        </w:rPr>
        <w:t>’</w:t>
      </w:r>
      <w:r w:rsidRPr="00357DC2">
        <w:rPr>
          <w:lang w:val="fr-FR"/>
        </w:rPr>
        <w:t xml:space="preserve">audience du 25 mai 2009, la Cour </w:t>
      </w:r>
      <w:r w:rsidR="00F6669B" w:rsidRPr="00357DC2">
        <w:rPr>
          <w:lang w:val="fr-FR"/>
        </w:rPr>
        <w:t xml:space="preserve">de cassation </w:t>
      </w:r>
      <w:r w:rsidRPr="00357DC2">
        <w:rPr>
          <w:lang w:val="fr-FR"/>
        </w:rPr>
        <w:t>rappela aux défenseurs du requérant qu</w:t>
      </w:r>
      <w:r w:rsidR="00357DC2" w:rsidRPr="00357DC2">
        <w:rPr>
          <w:lang w:val="fr-FR"/>
        </w:rPr>
        <w:t>’</w:t>
      </w:r>
      <w:r w:rsidRPr="00357DC2">
        <w:rPr>
          <w:lang w:val="fr-FR"/>
        </w:rPr>
        <w:t>il était possible de requalifier les faits de corruption pour lesquels l</w:t>
      </w:r>
      <w:r w:rsidR="00357DC2" w:rsidRPr="00357DC2">
        <w:rPr>
          <w:lang w:val="fr-FR"/>
        </w:rPr>
        <w:t>’</w:t>
      </w:r>
      <w:r w:rsidRPr="00357DC2">
        <w:rPr>
          <w:lang w:val="fr-FR"/>
        </w:rPr>
        <w:t xml:space="preserve">intéressé avait été jugé coupable </w:t>
      </w:r>
      <w:r w:rsidR="00CB7AEA" w:rsidRPr="00357DC2">
        <w:rPr>
          <w:lang w:val="fr-FR"/>
        </w:rPr>
        <w:t xml:space="preserve">en </w:t>
      </w:r>
      <w:r w:rsidRPr="00357DC2">
        <w:rPr>
          <w:lang w:val="fr-FR"/>
        </w:rPr>
        <w:t xml:space="preserve">faits de corruption dans des actes judiciaires. Les avocats du requérant </w:t>
      </w:r>
      <w:r w:rsidR="00762F52" w:rsidRPr="00357DC2">
        <w:rPr>
          <w:lang w:val="fr-FR"/>
        </w:rPr>
        <w:t xml:space="preserve">répliquèrent </w:t>
      </w:r>
      <w:r w:rsidRPr="00357DC2">
        <w:rPr>
          <w:lang w:val="fr-FR"/>
        </w:rPr>
        <w:t>qu</w:t>
      </w:r>
      <w:r w:rsidR="00357DC2" w:rsidRPr="00357DC2">
        <w:rPr>
          <w:lang w:val="fr-FR"/>
        </w:rPr>
        <w:t>’</w:t>
      </w:r>
      <w:r w:rsidRPr="00357DC2">
        <w:rPr>
          <w:lang w:val="fr-FR"/>
        </w:rPr>
        <w:t xml:space="preserve">il était nécessaire de </w:t>
      </w:r>
      <w:r w:rsidR="007F3B4B" w:rsidRPr="00357DC2">
        <w:rPr>
          <w:lang w:val="fr-FR"/>
        </w:rPr>
        <w:t xml:space="preserve">notifier </w:t>
      </w:r>
      <w:r w:rsidR="00950397" w:rsidRPr="00357DC2">
        <w:rPr>
          <w:lang w:val="fr-FR"/>
        </w:rPr>
        <w:t xml:space="preserve">personnellement </w:t>
      </w:r>
      <w:r w:rsidR="007F3B4B" w:rsidRPr="00357DC2">
        <w:rPr>
          <w:lang w:val="fr-FR"/>
        </w:rPr>
        <w:t>à</w:t>
      </w:r>
      <w:r w:rsidRPr="00357DC2">
        <w:rPr>
          <w:lang w:val="fr-FR"/>
        </w:rPr>
        <w:t xml:space="preserve"> l</w:t>
      </w:r>
      <w:r w:rsidR="00357DC2" w:rsidRPr="00357DC2">
        <w:rPr>
          <w:lang w:val="fr-FR"/>
        </w:rPr>
        <w:t>’</w:t>
      </w:r>
      <w:r w:rsidRPr="00357DC2">
        <w:rPr>
          <w:lang w:val="fr-FR"/>
        </w:rPr>
        <w:t>accusé ce</w:t>
      </w:r>
      <w:r w:rsidR="007F3B4B" w:rsidRPr="00357DC2">
        <w:rPr>
          <w:lang w:val="fr-FR"/>
        </w:rPr>
        <w:t xml:space="preserve"> nouveau</w:t>
      </w:r>
      <w:r w:rsidRPr="00357DC2">
        <w:rPr>
          <w:lang w:val="fr-FR"/>
        </w:rPr>
        <w:t xml:space="preserve"> chef d</w:t>
      </w:r>
      <w:r w:rsidR="00357DC2" w:rsidRPr="00357DC2">
        <w:rPr>
          <w:lang w:val="fr-FR"/>
        </w:rPr>
        <w:t>’</w:t>
      </w:r>
      <w:r w:rsidRPr="00357DC2">
        <w:rPr>
          <w:lang w:val="fr-FR"/>
        </w:rPr>
        <w:t xml:space="preserve">accusation </w:t>
      </w:r>
      <w:r w:rsidR="0056662C" w:rsidRPr="00357DC2">
        <w:rPr>
          <w:lang w:val="fr-FR"/>
        </w:rPr>
        <w:t>en lui</w:t>
      </w:r>
      <w:r w:rsidRPr="00357DC2">
        <w:rPr>
          <w:lang w:val="fr-FR"/>
        </w:rPr>
        <w:t xml:space="preserve"> donn</w:t>
      </w:r>
      <w:r w:rsidR="0056662C" w:rsidRPr="00357DC2">
        <w:rPr>
          <w:lang w:val="fr-FR"/>
        </w:rPr>
        <w:t>ant</w:t>
      </w:r>
      <w:r w:rsidRPr="00357DC2">
        <w:rPr>
          <w:lang w:val="fr-FR"/>
        </w:rPr>
        <w:t xml:space="preserve"> un délai pour préparer sa défense, et ils demandèrent un report d</w:t>
      </w:r>
      <w:r w:rsidR="00357DC2" w:rsidRPr="00357DC2">
        <w:rPr>
          <w:lang w:val="fr-FR"/>
        </w:rPr>
        <w:t>’</w:t>
      </w:r>
      <w:r w:rsidRPr="00357DC2">
        <w:rPr>
          <w:lang w:val="fr-FR"/>
        </w:rPr>
        <w:t xml:space="preserve">audience. </w:t>
      </w:r>
      <w:r w:rsidR="002479AC" w:rsidRPr="00357DC2">
        <w:rPr>
          <w:lang w:val="fr-FR"/>
        </w:rPr>
        <w:t>À</w:t>
      </w:r>
      <w:r w:rsidR="0056662C" w:rsidRPr="00357DC2">
        <w:rPr>
          <w:lang w:val="fr-FR"/>
        </w:rPr>
        <w:t xml:space="preserve"> titre subsidiaire, ils </w:t>
      </w:r>
      <w:r w:rsidR="00762F52" w:rsidRPr="00357DC2">
        <w:rPr>
          <w:lang w:val="fr-FR"/>
        </w:rPr>
        <w:t xml:space="preserve">soutinrent </w:t>
      </w:r>
      <w:r w:rsidR="0056662C" w:rsidRPr="00357DC2">
        <w:rPr>
          <w:lang w:val="fr-FR"/>
        </w:rPr>
        <w:t>que l</w:t>
      </w:r>
      <w:r w:rsidR="00357DC2" w:rsidRPr="00357DC2">
        <w:rPr>
          <w:lang w:val="fr-FR"/>
        </w:rPr>
        <w:t>’</w:t>
      </w:r>
      <w:r w:rsidR="0056662C" w:rsidRPr="00357DC2">
        <w:rPr>
          <w:lang w:val="fr-FR"/>
        </w:rPr>
        <w:t>article 319</w:t>
      </w:r>
      <w:r w:rsidR="00762F52" w:rsidRPr="00357DC2">
        <w:rPr>
          <w:lang w:val="fr-FR"/>
        </w:rPr>
        <w:t xml:space="preserve"> </w:t>
      </w:r>
      <w:r w:rsidR="0056662C" w:rsidRPr="00357DC2">
        <w:rPr>
          <w:i/>
          <w:lang w:val="fr-FR"/>
        </w:rPr>
        <w:t>ter</w:t>
      </w:r>
      <w:r w:rsidR="0056662C" w:rsidRPr="00357DC2">
        <w:rPr>
          <w:lang w:val="fr-FR"/>
        </w:rPr>
        <w:t xml:space="preserve"> du </w:t>
      </w:r>
      <w:r w:rsidR="00CB7AEA" w:rsidRPr="00357DC2">
        <w:rPr>
          <w:lang w:val="fr-FR"/>
        </w:rPr>
        <w:t>CP</w:t>
      </w:r>
      <w:r w:rsidR="0056662C" w:rsidRPr="00357DC2">
        <w:rPr>
          <w:lang w:val="fr-FR"/>
        </w:rPr>
        <w:t xml:space="preserve"> n</w:t>
      </w:r>
      <w:r w:rsidR="00357DC2" w:rsidRPr="00357DC2">
        <w:rPr>
          <w:lang w:val="fr-FR"/>
        </w:rPr>
        <w:t>’</w:t>
      </w:r>
      <w:r w:rsidR="0056662C" w:rsidRPr="00357DC2">
        <w:rPr>
          <w:lang w:val="fr-FR"/>
        </w:rPr>
        <w:t>était pas applicable aux faits de l</w:t>
      </w:r>
      <w:r w:rsidR="00357DC2" w:rsidRPr="00357DC2">
        <w:rPr>
          <w:lang w:val="fr-FR"/>
        </w:rPr>
        <w:t>’</w:t>
      </w:r>
      <w:r w:rsidR="0056662C" w:rsidRPr="00357DC2">
        <w:rPr>
          <w:lang w:val="fr-FR"/>
        </w:rPr>
        <w:t>espèce.</w:t>
      </w:r>
    </w:p>
    <w:p w:rsidR="007A6B24"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26</w:t>
      </w:r>
      <w:r w:rsidRPr="00357DC2">
        <w:rPr>
          <w:lang w:val="fr-FR"/>
        </w:rPr>
        <w:fldChar w:fldCharType="end"/>
      </w:r>
      <w:r w:rsidRPr="00357DC2">
        <w:rPr>
          <w:lang w:val="fr-FR"/>
        </w:rPr>
        <w:t>.  La Cour de cassation rejeta la demande de report d</w:t>
      </w:r>
      <w:r w:rsidR="00357DC2" w:rsidRPr="00357DC2">
        <w:rPr>
          <w:lang w:val="fr-FR"/>
        </w:rPr>
        <w:t>’</w:t>
      </w:r>
      <w:r w:rsidRPr="00357DC2">
        <w:rPr>
          <w:lang w:val="fr-FR"/>
        </w:rPr>
        <w:t>audience au</w:t>
      </w:r>
      <w:r w:rsidR="00762F52" w:rsidRPr="00357DC2">
        <w:rPr>
          <w:lang w:val="fr-FR"/>
        </w:rPr>
        <w:t>x</w:t>
      </w:r>
      <w:r w:rsidRPr="00357DC2">
        <w:rPr>
          <w:lang w:val="fr-FR"/>
        </w:rPr>
        <w:t xml:space="preserve"> motif</w:t>
      </w:r>
      <w:r w:rsidR="00762F52" w:rsidRPr="00357DC2">
        <w:rPr>
          <w:lang w:val="fr-FR"/>
        </w:rPr>
        <w:t>s</w:t>
      </w:r>
      <w:r w:rsidRPr="00357DC2">
        <w:rPr>
          <w:lang w:val="fr-FR"/>
        </w:rPr>
        <w:t xml:space="preserve"> que</w:t>
      </w:r>
      <w:r w:rsidR="00485BCD" w:rsidRPr="00357DC2">
        <w:rPr>
          <w:lang w:val="fr-FR"/>
        </w:rPr>
        <w:t>,</w:t>
      </w:r>
      <w:r w:rsidRPr="00357DC2">
        <w:rPr>
          <w:lang w:val="fr-FR"/>
        </w:rPr>
        <w:t xml:space="preserve"> </w:t>
      </w:r>
      <w:r w:rsidR="00762F52" w:rsidRPr="00357DC2">
        <w:rPr>
          <w:lang w:val="fr-FR"/>
        </w:rPr>
        <w:t>d</w:t>
      </w:r>
      <w:r w:rsidR="00357DC2" w:rsidRPr="00357DC2">
        <w:rPr>
          <w:lang w:val="fr-FR"/>
        </w:rPr>
        <w:t>’</w:t>
      </w:r>
      <w:r w:rsidR="00762F52" w:rsidRPr="00357DC2">
        <w:rPr>
          <w:lang w:val="fr-FR"/>
        </w:rPr>
        <w:t>après</w:t>
      </w:r>
      <w:r w:rsidR="00485BCD" w:rsidRPr="00357DC2">
        <w:rPr>
          <w:lang w:val="fr-FR"/>
        </w:rPr>
        <w:t xml:space="preserve"> l</w:t>
      </w:r>
      <w:r w:rsidR="00357DC2" w:rsidRPr="00357DC2">
        <w:rPr>
          <w:lang w:val="fr-FR"/>
        </w:rPr>
        <w:t>’</w:t>
      </w:r>
      <w:r w:rsidR="00485BCD" w:rsidRPr="00357DC2">
        <w:rPr>
          <w:lang w:val="fr-FR"/>
        </w:rPr>
        <w:t xml:space="preserve">article 614 du </w:t>
      </w:r>
      <w:r w:rsidR="0075612F" w:rsidRPr="00357DC2">
        <w:rPr>
          <w:lang w:val="fr-FR"/>
        </w:rPr>
        <w:t>CPP</w:t>
      </w:r>
      <w:r w:rsidR="00485BCD" w:rsidRPr="00357DC2">
        <w:rPr>
          <w:lang w:val="fr-FR"/>
        </w:rPr>
        <w:t xml:space="preserve">, </w:t>
      </w:r>
      <w:r w:rsidR="00762F52" w:rsidRPr="00357DC2">
        <w:rPr>
          <w:lang w:val="fr-FR"/>
        </w:rPr>
        <w:t>l</w:t>
      </w:r>
      <w:r w:rsidR="00357DC2" w:rsidRPr="00357DC2">
        <w:rPr>
          <w:lang w:val="fr-FR"/>
        </w:rPr>
        <w:t>’</w:t>
      </w:r>
      <w:r w:rsidR="00762F52" w:rsidRPr="00357DC2">
        <w:rPr>
          <w:lang w:val="fr-FR"/>
        </w:rPr>
        <w:t xml:space="preserve">accusé </w:t>
      </w:r>
      <w:r w:rsidRPr="00357DC2">
        <w:rPr>
          <w:lang w:val="fr-FR"/>
        </w:rPr>
        <w:t>n</w:t>
      </w:r>
      <w:r w:rsidR="00357DC2" w:rsidRPr="00357DC2">
        <w:rPr>
          <w:lang w:val="fr-FR"/>
        </w:rPr>
        <w:t>’</w:t>
      </w:r>
      <w:r w:rsidRPr="00357DC2">
        <w:rPr>
          <w:lang w:val="fr-FR"/>
        </w:rPr>
        <w:t xml:space="preserve">avait pas </w:t>
      </w:r>
      <w:r w:rsidR="00CB7AEA" w:rsidRPr="00357DC2">
        <w:rPr>
          <w:lang w:val="fr-FR"/>
        </w:rPr>
        <w:t xml:space="preserve">de </w:t>
      </w:r>
      <w:r w:rsidRPr="00357DC2">
        <w:rPr>
          <w:lang w:val="fr-FR"/>
        </w:rPr>
        <w:t xml:space="preserve">titre </w:t>
      </w:r>
      <w:r w:rsidR="00CB7AEA" w:rsidRPr="00357DC2">
        <w:rPr>
          <w:lang w:val="fr-FR"/>
        </w:rPr>
        <w:t xml:space="preserve">lui permettant de </w:t>
      </w:r>
      <w:r w:rsidRPr="00357DC2">
        <w:rPr>
          <w:lang w:val="fr-FR"/>
        </w:rPr>
        <w:t xml:space="preserve">participer à la procédure en cassation, que la possibilité de requalifier les faits de corruption </w:t>
      </w:r>
      <w:r w:rsidR="00CB7AEA" w:rsidRPr="00357DC2">
        <w:rPr>
          <w:lang w:val="fr-FR"/>
        </w:rPr>
        <w:t xml:space="preserve">en </w:t>
      </w:r>
      <w:r w:rsidRPr="00357DC2">
        <w:rPr>
          <w:lang w:val="fr-FR"/>
        </w:rPr>
        <w:t>corruption dans des actes judiciaires avait été clairement indiquée dans son arrêt du 12 novembre 2008 et que la convocation des défenseurs à l</w:t>
      </w:r>
      <w:r w:rsidR="00357DC2" w:rsidRPr="00357DC2">
        <w:rPr>
          <w:lang w:val="fr-FR"/>
        </w:rPr>
        <w:t>’</w:t>
      </w:r>
      <w:r w:rsidRPr="00357DC2">
        <w:rPr>
          <w:lang w:val="fr-FR"/>
        </w:rPr>
        <w:t>audience avait permis à l</w:t>
      </w:r>
      <w:r w:rsidR="00357DC2" w:rsidRPr="00357DC2">
        <w:rPr>
          <w:lang w:val="fr-FR"/>
        </w:rPr>
        <w:t>’</w:t>
      </w:r>
      <w:r w:rsidRPr="00357DC2">
        <w:rPr>
          <w:lang w:val="fr-FR"/>
        </w:rPr>
        <w:t xml:space="preserve">accusé de disposer du temps </w:t>
      </w:r>
      <w:r w:rsidR="00CB7AEA" w:rsidRPr="00357DC2">
        <w:rPr>
          <w:lang w:val="fr-FR"/>
        </w:rPr>
        <w:t>nécessaire à la préparation de</w:t>
      </w:r>
      <w:r w:rsidRPr="00357DC2">
        <w:rPr>
          <w:lang w:val="fr-FR"/>
        </w:rPr>
        <w:t xml:space="preserve"> sa défense.</w:t>
      </w:r>
    </w:p>
    <w:p w:rsidR="00520396" w:rsidRPr="00357DC2" w:rsidRDefault="00520396" w:rsidP="00357DC2">
      <w:pPr>
        <w:pStyle w:val="ECHRPara"/>
        <w:keepNext/>
        <w:keepLines/>
        <w:rPr>
          <w:lang w:val="fr-FR"/>
        </w:rPr>
      </w:pPr>
      <w:r w:rsidRPr="00357DC2">
        <w:rPr>
          <w:lang w:val="fr-FR"/>
        </w:rPr>
        <w:lastRenderedPageBreak/>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27</w:t>
      </w:r>
      <w:r w:rsidRPr="00357DC2">
        <w:rPr>
          <w:lang w:val="fr-FR"/>
        </w:rPr>
        <w:fldChar w:fldCharType="end"/>
      </w:r>
      <w:r w:rsidRPr="00357DC2">
        <w:rPr>
          <w:lang w:val="fr-FR"/>
        </w:rPr>
        <w:t>.  Par un arrêt du 25 mai 2009, déposé au greffe le 18</w:t>
      </w:r>
      <w:r w:rsidR="00971805" w:rsidRPr="00357DC2">
        <w:rPr>
          <w:lang w:val="fr-FR"/>
        </w:rPr>
        <w:t> </w:t>
      </w:r>
      <w:r w:rsidRPr="00357DC2">
        <w:rPr>
          <w:lang w:val="fr-FR"/>
        </w:rPr>
        <w:t>septembre 2009, la Cour de cassation rappela que le requérant, par le biais de ses avocats, avait été informé de la requalification des faits par sa décision du 12 novembre 2008</w:t>
      </w:r>
      <w:r w:rsidR="00762F52" w:rsidRPr="00357DC2">
        <w:rPr>
          <w:lang w:val="fr-FR"/>
        </w:rPr>
        <w:t>,</w:t>
      </w:r>
      <w:r w:rsidRPr="00357DC2">
        <w:rPr>
          <w:lang w:val="fr-FR"/>
        </w:rPr>
        <w:t xml:space="preserve"> qui avait annoncé un nouvel examen du pourvoi en cassation. </w:t>
      </w:r>
      <w:r w:rsidR="00CB7AEA" w:rsidRPr="00357DC2">
        <w:rPr>
          <w:lang w:val="fr-FR"/>
        </w:rPr>
        <w:t>Elle ajouta que l</w:t>
      </w:r>
      <w:r w:rsidR="00357DC2" w:rsidRPr="00357DC2">
        <w:rPr>
          <w:lang w:val="fr-FR"/>
        </w:rPr>
        <w:t>’</w:t>
      </w:r>
      <w:r w:rsidRPr="00357DC2">
        <w:rPr>
          <w:lang w:val="fr-FR"/>
        </w:rPr>
        <w:t xml:space="preserve">intéressé avait en outre disposé du temps nécessaire </w:t>
      </w:r>
      <w:r w:rsidR="00CB7AEA" w:rsidRPr="00357DC2">
        <w:rPr>
          <w:lang w:val="fr-FR"/>
        </w:rPr>
        <w:t>à la préparation de</w:t>
      </w:r>
      <w:r w:rsidRPr="00357DC2">
        <w:rPr>
          <w:lang w:val="fr-FR"/>
        </w:rPr>
        <w:t xml:space="preserve"> sa défense. </w:t>
      </w:r>
      <w:r w:rsidR="00CB7AEA" w:rsidRPr="00357DC2">
        <w:rPr>
          <w:lang w:val="fr-FR"/>
        </w:rPr>
        <w:t>Elle estima p</w:t>
      </w:r>
      <w:r w:rsidRPr="00357DC2">
        <w:rPr>
          <w:lang w:val="fr-FR"/>
        </w:rPr>
        <w:t>ar conséquent</w:t>
      </w:r>
      <w:r w:rsidR="00CB7AEA" w:rsidRPr="00357DC2">
        <w:rPr>
          <w:lang w:val="fr-FR"/>
        </w:rPr>
        <w:t xml:space="preserve"> que</w:t>
      </w:r>
      <w:r w:rsidRPr="00357DC2">
        <w:rPr>
          <w:lang w:val="fr-FR"/>
        </w:rPr>
        <w:t xml:space="preserve"> la situation avait été mise en conformité avec l</w:t>
      </w:r>
      <w:r w:rsidR="00357DC2" w:rsidRPr="00357DC2">
        <w:rPr>
          <w:lang w:val="fr-FR"/>
        </w:rPr>
        <w:t>’</w:t>
      </w:r>
      <w:r w:rsidRPr="00357DC2">
        <w:rPr>
          <w:lang w:val="fr-FR"/>
        </w:rPr>
        <w:t xml:space="preserve">arrêt de violation </w:t>
      </w:r>
      <w:r w:rsidR="00762F52" w:rsidRPr="00357DC2">
        <w:rPr>
          <w:lang w:val="fr-FR"/>
        </w:rPr>
        <w:t xml:space="preserve">rendu par </w:t>
      </w:r>
      <w:r w:rsidRPr="00357DC2">
        <w:rPr>
          <w:lang w:val="fr-FR"/>
        </w:rPr>
        <w:t>la Cour européenne des droits de l</w:t>
      </w:r>
      <w:r w:rsidR="00357DC2" w:rsidRPr="00357DC2">
        <w:rPr>
          <w:lang w:val="fr-FR"/>
        </w:rPr>
        <w:t>’</w:t>
      </w:r>
      <w:r w:rsidRPr="00357DC2">
        <w:rPr>
          <w:lang w:val="fr-FR"/>
        </w:rPr>
        <w:t>homme.</w:t>
      </w:r>
    </w:p>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28</w:t>
      </w:r>
      <w:r w:rsidRPr="00357DC2">
        <w:rPr>
          <w:lang w:val="fr-FR"/>
        </w:rPr>
        <w:fldChar w:fldCharType="end"/>
      </w:r>
      <w:r w:rsidRPr="00357DC2">
        <w:rPr>
          <w:lang w:val="fr-FR"/>
        </w:rPr>
        <w:t xml:space="preserve">.  La Cour de cassation </w:t>
      </w:r>
      <w:r w:rsidR="004A7581" w:rsidRPr="00357DC2">
        <w:rPr>
          <w:lang w:val="fr-FR"/>
        </w:rPr>
        <w:t>considéra que les faits avaient été correctement et logique</w:t>
      </w:r>
      <w:r w:rsidR="00B205B7" w:rsidRPr="00357DC2">
        <w:rPr>
          <w:lang w:val="fr-FR"/>
        </w:rPr>
        <w:t>me</w:t>
      </w:r>
      <w:r w:rsidR="004A7581" w:rsidRPr="00357DC2">
        <w:rPr>
          <w:lang w:val="fr-FR"/>
        </w:rPr>
        <w:t>nt établis par la cour d</w:t>
      </w:r>
      <w:r w:rsidR="00357DC2" w:rsidRPr="00357DC2">
        <w:rPr>
          <w:lang w:val="fr-FR"/>
        </w:rPr>
        <w:t>’</w:t>
      </w:r>
      <w:r w:rsidR="004A7581" w:rsidRPr="00357DC2">
        <w:rPr>
          <w:lang w:val="fr-FR"/>
        </w:rPr>
        <w:t xml:space="preserve">appel </w:t>
      </w:r>
      <w:r w:rsidR="00B205B7" w:rsidRPr="00357DC2">
        <w:rPr>
          <w:lang w:val="fr-FR"/>
        </w:rPr>
        <w:t xml:space="preserve">et </w:t>
      </w:r>
      <w:r w:rsidR="00CB7AEA" w:rsidRPr="00357DC2">
        <w:rPr>
          <w:lang w:val="fr-FR"/>
        </w:rPr>
        <w:t xml:space="preserve">elle </w:t>
      </w:r>
      <w:r w:rsidR="00B205B7" w:rsidRPr="00357DC2">
        <w:rPr>
          <w:lang w:val="fr-FR"/>
        </w:rPr>
        <w:t>les qualifia</w:t>
      </w:r>
      <w:r w:rsidRPr="00357DC2">
        <w:rPr>
          <w:lang w:val="fr-FR"/>
        </w:rPr>
        <w:t xml:space="preserve"> </w:t>
      </w:r>
      <w:r w:rsidR="00762F52" w:rsidRPr="00357DC2">
        <w:rPr>
          <w:lang w:val="fr-FR"/>
        </w:rPr>
        <w:t>de</w:t>
      </w:r>
      <w:r w:rsidRPr="00357DC2">
        <w:rPr>
          <w:lang w:val="fr-FR"/>
        </w:rPr>
        <w:t xml:space="preserve"> corruption dans des actes judiciaires. Elle estima que l</w:t>
      </w:r>
      <w:r w:rsidR="00357DC2" w:rsidRPr="00357DC2">
        <w:rPr>
          <w:lang w:val="fr-FR"/>
        </w:rPr>
        <w:t>’</w:t>
      </w:r>
      <w:r w:rsidRPr="00357DC2">
        <w:rPr>
          <w:lang w:val="fr-FR"/>
        </w:rPr>
        <w:t>infraction n</w:t>
      </w:r>
      <w:r w:rsidR="00357DC2" w:rsidRPr="00357DC2">
        <w:rPr>
          <w:lang w:val="fr-FR"/>
        </w:rPr>
        <w:t>’</w:t>
      </w:r>
      <w:r w:rsidRPr="00357DC2">
        <w:rPr>
          <w:lang w:val="fr-FR"/>
        </w:rPr>
        <w:t>était pas encore prescrite</w:t>
      </w:r>
      <w:r w:rsidR="00900F5B" w:rsidRPr="00357DC2">
        <w:rPr>
          <w:lang w:val="fr-FR"/>
        </w:rPr>
        <w:t>, dans la mesure où le délai</w:t>
      </w:r>
      <w:r w:rsidR="00074A2A" w:rsidRPr="00357DC2">
        <w:rPr>
          <w:lang w:val="fr-FR"/>
        </w:rPr>
        <w:t xml:space="preserve"> normal</w:t>
      </w:r>
      <w:r w:rsidR="00900F5B" w:rsidRPr="00357DC2">
        <w:rPr>
          <w:lang w:val="fr-FR"/>
        </w:rPr>
        <w:t xml:space="preserve"> de prescription a</w:t>
      </w:r>
      <w:r w:rsidR="00762F52" w:rsidRPr="00357DC2">
        <w:rPr>
          <w:lang w:val="fr-FR"/>
        </w:rPr>
        <w:t>v</w:t>
      </w:r>
      <w:r w:rsidR="00900F5B" w:rsidRPr="00357DC2">
        <w:rPr>
          <w:lang w:val="fr-FR"/>
        </w:rPr>
        <w:t>ait été suspendu</w:t>
      </w:r>
      <w:r w:rsidR="00074A2A" w:rsidRPr="00357DC2">
        <w:rPr>
          <w:lang w:val="fr-FR"/>
        </w:rPr>
        <w:t xml:space="preserve"> </w:t>
      </w:r>
      <w:r w:rsidR="000764EB" w:rsidRPr="00357DC2">
        <w:rPr>
          <w:lang w:val="fr-FR"/>
        </w:rPr>
        <w:t>entre juillet 2000 et juillet 2001 en raison de la saisi</w:t>
      </w:r>
      <w:r w:rsidR="00CB7AEA" w:rsidRPr="00357DC2">
        <w:rPr>
          <w:lang w:val="fr-FR"/>
        </w:rPr>
        <w:t>ne</w:t>
      </w:r>
      <w:r w:rsidR="000764EB" w:rsidRPr="00357DC2">
        <w:rPr>
          <w:lang w:val="fr-FR"/>
        </w:rPr>
        <w:t xml:space="preserve"> de la Cour constitutionnelle </w:t>
      </w:r>
      <w:r w:rsidR="00CB7AEA" w:rsidRPr="00357DC2">
        <w:rPr>
          <w:lang w:val="fr-FR"/>
        </w:rPr>
        <w:t>par</w:t>
      </w:r>
      <w:r w:rsidR="000764EB" w:rsidRPr="00357DC2">
        <w:rPr>
          <w:lang w:val="fr-FR"/>
        </w:rPr>
        <w:t xml:space="preserve"> la cour d</w:t>
      </w:r>
      <w:r w:rsidR="00357DC2" w:rsidRPr="00357DC2">
        <w:rPr>
          <w:lang w:val="fr-FR"/>
        </w:rPr>
        <w:t>’</w:t>
      </w:r>
      <w:r w:rsidR="000764EB" w:rsidRPr="00357DC2">
        <w:rPr>
          <w:lang w:val="fr-FR"/>
        </w:rPr>
        <w:t>appel</w:t>
      </w:r>
      <w:r w:rsidRPr="00357DC2">
        <w:rPr>
          <w:lang w:val="fr-FR"/>
        </w:rPr>
        <w:t xml:space="preserve">. Par ailleurs, </w:t>
      </w:r>
      <w:r w:rsidR="00CB7AEA" w:rsidRPr="00357DC2">
        <w:rPr>
          <w:lang w:val="fr-FR"/>
        </w:rPr>
        <w:t xml:space="preserve">elle jugea </w:t>
      </w:r>
      <w:r w:rsidRPr="00357DC2">
        <w:rPr>
          <w:lang w:val="fr-FR"/>
        </w:rPr>
        <w:t>les éléments de l</w:t>
      </w:r>
      <w:r w:rsidR="00357DC2" w:rsidRPr="00357DC2">
        <w:rPr>
          <w:lang w:val="fr-FR"/>
        </w:rPr>
        <w:t>’</w:t>
      </w:r>
      <w:r w:rsidRPr="00357DC2">
        <w:rPr>
          <w:lang w:val="fr-FR"/>
        </w:rPr>
        <w:t xml:space="preserve">infraction constitués. En conclusion, </w:t>
      </w:r>
      <w:r w:rsidR="00CB7AEA" w:rsidRPr="00357DC2">
        <w:rPr>
          <w:lang w:val="fr-FR"/>
        </w:rPr>
        <w:t>elle</w:t>
      </w:r>
      <w:r w:rsidRPr="00357DC2">
        <w:rPr>
          <w:lang w:val="fr-FR"/>
        </w:rPr>
        <w:t xml:space="preserve"> rejeta le recours du requérant et condamna </w:t>
      </w:r>
      <w:r w:rsidR="00CB7AEA" w:rsidRPr="00357DC2">
        <w:rPr>
          <w:lang w:val="fr-FR"/>
        </w:rPr>
        <w:t xml:space="preserve">celui-ci </w:t>
      </w:r>
      <w:r w:rsidRPr="00357DC2">
        <w:rPr>
          <w:lang w:val="fr-FR"/>
        </w:rPr>
        <w:t>au</w:t>
      </w:r>
      <w:r w:rsidR="00CB7AEA" w:rsidRPr="00357DC2">
        <w:rPr>
          <w:lang w:val="fr-FR"/>
        </w:rPr>
        <w:t xml:space="preserve"> paiement des</w:t>
      </w:r>
      <w:r w:rsidRPr="00357DC2">
        <w:rPr>
          <w:lang w:val="fr-FR"/>
        </w:rPr>
        <w:t xml:space="preserve"> frais de procédure.</w:t>
      </w:r>
    </w:p>
    <w:p w:rsidR="00D9420D" w:rsidRPr="00357DC2" w:rsidRDefault="00FA1201" w:rsidP="00357DC2">
      <w:pPr>
        <w:pStyle w:val="ECHRHeading2"/>
        <w:rPr>
          <w:lang w:val="fr-FR"/>
        </w:rPr>
      </w:pPr>
      <w:r w:rsidRPr="00357DC2">
        <w:rPr>
          <w:lang w:val="fr-FR"/>
        </w:rPr>
        <w:t>D</w:t>
      </w:r>
      <w:r w:rsidR="00D9420D" w:rsidRPr="00357DC2">
        <w:rPr>
          <w:lang w:val="fr-FR"/>
        </w:rPr>
        <w:t>.  Le recours en révision formé par le requérant</w:t>
      </w:r>
    </w:p>
    <w:p w:rsidR="008B62EF" w:rsidRPr="00357DC2" w:rsidRDefault="008B62EF"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29</w:t>
      </w:r>
      <w:r w:rsidRPr="00357DC2">
        <w:rPr>
          <w:lang w:val="fr-FR"/>
        </w:rPr>
        <w:fldChar w:fldCharType="end"/>
      </w:r>
      <w:r w:rsidRPr="00357DC2">
        <w:rPr>
          <w:lang w:val="fr-FR"/>
        </w:rPr>
        <w:t>.  </w:t>
      </w:r>
      <w:r w:rsidR="00D9420D" w:rsidRPr="00357DC2">
        <w:rPr>
          <w:lang w:val="fr-FR"/>
        </w:rPr>
        <w:t>Le 29 juillet 2011, le requérant introduisit un recours en révision</w:t>
      </w:r>
      <w:r w:rsidR="009E79F3" w:rsidRPr="00357DC2">
        <w:rPr>
          <w:lang w:val="fr-FR"/>
        </w:rPr>
        <w:t xml:space="preserve"> de l</w:t>
      </w:r>
      <w:r w:rsidR="00357DC2" w:rsidRPr="00357DC2">
        <w:rPr>
          <w:lang w:val="fr-FR"/>
        </w:rPr>
        <w:t>’</w:t>
      </w:r>
      <w:r w:rsidR="009E79F3" w:rsidRPr="00357DC2">
        <w:rPr>
          <w:lang w:val="fr-FR"/>
        </w:rPr>
        <w:t>arrêt</w:t>
      </w:r>
      <w:r w:rsidR="0034726C" w:rsidRPr="00357DC2">
        <w:rPr>
          <w:lang w:val="fr-FR"/>
        </w:rPr>
        <w:t xml:space="preserve"> de la cour d</w:t>
      </w:r>
      <w:r w:rsidR="00357DC2" w:rsidRPr="00357DC2">
        <w:rPr>
          <w:lang w:val="fr-FR"/>
        </w:rPr>
        <w:t>’</w:t>
      </w:r>
      <w:r w:rsidR="0034726C" w:rsidRPr="00357DC2">
        <w:rPr>
          <w:lang w:val="fr-FR"/>
        </w:rPr>
        <w:t xml:space="preserve">appel </w:t>
      </w:r>
      <w:r w:rsidR="009E79F3" w:rsidRPr="00357DC2">
        <w:rPr>
          <w:lang w:val="fr-FR"/>
        </w:rPr>
        <w:t>du 12 juin 2002</w:t>
      </w:r>
      <w:r w:rsidR="00D9420D" w:rsidRPr="00357DC2">
        <w:rPr>
          <w:lang w:val="fr-FR"/>
        </w:rPr>
        <w:t xml:space="preserve"> </w:t>
      </w:r>
      <w:r w:rsidR="00762F52" w:rsidRPr="00357DC2">
        <w:rPr>
          <w:lang w:val="fr-FR"/>
        </w:rPr>
        <w:t>sur le fondement</w:t>
      </w:r>
      <w:r w:rsidR="003271A6" w:rsidRPr="00357DC2">
        <w:rPr>
          <w:lang w:val="fr-FR"/>
        </w:rPr>
        <w:t xml:space="preserve"> de l</w:t>
      </w:r>
      <w:r w:rsidR="00357DC2" w:rsidRPr="00357DC2">
        <w:rPr>
          <w:lang w:val="fr-FR"/>
        </w:rPr>
        <w:t>’</w:t>
      </w:r>
      <w:r w:rsidR="003271A6" w:rsidRPr="00357DC2">
        <w:rPr>
          <w:lang w:val="fr-FR"/>
        </w:rPr>
        <w:t>article</w:t>
      </w:r>
      <w:r w:rsidR="00971805" w:rsidRPr="00357DC2">
        <w:rPr>
          <w:lang w:val="fr-FR"/>
        </w:rPr>
        <w:t> </w:t>
      </w:r>
      <w:r w:rsidR="003271A6" w:rsidRPr="00357DC2">
        <w:rPr>
          <w:lang w:val="fr-FR"/>
        </w:rPr>
        <w:t xml:space="preserve">630 du </w:t>
      </w:r>
      <w:r w:rsidR="00911979" w:rsidRPr="00357DC2">
        <w:rPr>
          <w:lang w:val="fr-FR"/>
        </w:rPr>
        <w:t>CPP</w:t>
      </w:r>
      <w:r w:rsidR="003271A6" w:rsidRPr="00357DC2">
        <w:rPr>
          <w:lang w:val="fr-FR"/>
        </w:rPr>
        <w:t xml:space="preserve">, tel </w:t>
      </w:r>
      <w:r w:rsidR="003B278D" w:rsidRPr="00357DC2">
        <w:rPr>
          <w:lang w:val="fr-FR"/>
        </w:rPr>
        <w:t>que modifié</w:t>
      </w:r>
      <w:r w:rsidR="003271A6" w:rsidRPr="00357DC2">
        <w:rPr>
          <w:lang w:val="fr-FR"/>
        </w:rPr>
        <w:t xml:space="preserve"> par l</w:t>
      </w:r>
      <w:r w:rsidR="00357DC2" w:rsidRPr="00357DC2">
        <w:rPr>
          <w:lang w:val="fr-FR"/>
        </w:rPr>
        <w:t>’</w:t>
      </w:r>
      <w:r w:rsidR="003271A6" w:rsidRPr="00357DC2">
        <w:rPr>
          <w:lang w:val="fr-FR"/>
        </w:rPr>
        <w:t xml:space="preserve">arrêt de la Cour </w:t>
      </w:r>
      <w:r w:rsidR="00911979" w:rsidRPr="00357DC2">
        <w:rPr>
          <w:lang w:val="fr-FR"/>
        </w:rPr>
        <w:t>c</w:t>
      </w:r>
      <w:r w:rsidR="003271A6" w:rsidRPr="00357DC2">
        <w:rPr>
          <w:lang w:val="fr-FR"/>
        </w:rPr>
        <w:t>onstitutionnelle n</w:t>
      </w:r>
      <w:r w:rsidR="007A6B24" w:rsidRPr="00357DC2">
        <w:rPr>
          <w:vertAlign w:val="superscript"/>
          <w:lang w:val="fr-FR"/>
        </w:rPr>
        <w:t>o</w:t>
      </w:r>
      <w:r w:rsidR="003271A6" w:rsidRPr="00357DC2">
        <w:rPr>
          <w:lang w:val="fr-FR"/>
        </w:rPr>
        <w:t xml:space="preserve"> 113 de 2011 (</w:t>
      </w:r>
      <w:r w:rsidR="00911979" w:rsidRPr="00357DC2">
        <w:rPr>
          <w:lang w:val="fr-FR"/>
        </w:rPr>
        <w:t>paragraphe</w:t>
      </w:r>
      <w:r w:rsidR="002176A9" w:rsidRPr="00357DC2">
        <w:rPr>
          <w:lang w:val="fr-FR"/>
        </w:rPr>
        <w:t>s 6 et</w:t>
      </w:r>
      <w:r w:rsidR="003271A6" w:rsidRPr="00357DC2">
        <w:rPr>
          <w:lang w:val="fr-FR"/>
        </w:rPr>
        <w:t xml:space="preserve"> </w:t>
      </w:r>
      <w:r w:rsidR="008373D6" w:rsidRPr="00357DC2">
        <w:rPr>
          <w:lang w:val="fr-FR"/>
        </w:rPr>
        <w:fldChar w:fldCharType="begin"/>
      </w:r>
      <w:r w:rsidR="008373D6" w:rsidRPr="00357DC2">
        <w:rPr>
          <w:lang w:val="fr-FR"/>
        </w:rPr>
        <w:instrText xml:space="preserve"> REF cpp630 \h </w:instrText>
      </w:r>
      <w:r w:rsidR="008373D6" w:rsidRPr="00357DC2">
        <w:rPr>
          <w:lang w:val="fr-FR"/>
        </w:rPr>
      </w:r>
      <w:r w:rsidR="008373D6" w:rsidRPr="00357DC2">
        <w:rPr>
          <w:lang w:val="fr-FR"/>
        </w:rPr>
        <w:fldChar w:fldCharType="separate"/>
      </w:r>
      <w:r w:rsidR="00357DC2" w:rsidRPr="00357DC2">
        <w:rPr>
          <w:noProof/>
          <w:lang w:val="fr-FR"/>
        </w:rPr>
        <w:t>35</w:t>
      </w:r>
      <w:r w:rsidR="008373D6" w:rsidRPr="00357DC2">
        <w:rPr>
          <w:lang w:val="fr-FR"/>
        </w:rPr>
        <w:fldChar w:fldCharType="end"/>
      </w:r>
      <w:r w:rsidR="008373D6" w:rsidRPr="00357DC2">
        <w:rPr>
          <w:lang w:val="fr-FR"/>
        </w:rPr>
        <w:t xml:space="preserve"> </w:t>
      </w:r>
      <w:r w:rsidR="003271A6" w:rsidRPr="00357DC2">
        <w:rPr>
          <w:lang w:val="fr-FR"/>
        </w:rPr>
        <w:t>ci-dessous).</w:t>
      </w:r>
    </w:p>
    <w:p w:rsidR="007A6B24" w:rsidRPr="00357DC2" w:rsidRDefault="009E79F3"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30</w:t>
      </w:r>
      <w:r w:rsidRPr="00357DC2">
        <w:rPr>
          <w:lang w:val="fr-FR"/>
        </w:rPr>
        <w:fldChar w:fldCharType="end"/>
      </w:r>
      <w:r w:rsidRPr="00357DC2">
        <w:rPr>
          <w:lang w:val="fr-FR"/>
        </w:rPr>
        <w:t>.  </w:t>
      </w:r>
      <w:r w:rsidR="00662BC5" w:rsidRPr="00357DC2">
        <w:rPr>
          <w:lang w:val="fr-FR"/>
        </w:rPr>
        <w:t>Par un arrêt du 18 janvier 2012, la cour d</w:t>
      </w:r>
      <w:r w:rsidR="00357DC2" w:rsidRPr="00357DC2">
        <w:rPr>
          <w:lang w:val="fr-FR"/>
        </w:rPr>
        <w:t>’</w:t>
      </w:r>
      <w:r w:rsidR="00662BC5" w:rsidRPr="00357DC2">
        <w:rPr>
          <w:lang w:val="fr-FR"/>
        </w:rPr>
        <w:t>appel de Trente déclara irrecevable la demande du requérant</w:t>
      </w:r>
      <w:r w:rsidR="00BA3113" w:rsidRPr="00357DC2">
        <w:rPr>
          <w:lang w:val="fr-FR"/>
        </w:rPr>
        <w:t>,</w:t>
      </w:r>
      <w:r w:rsidR="00662BC5" w:rsidRPr="00357DC2">
        <w:rPr>
          <w:lang w:val="fr-FR"/>
        </w:rPr>
        <w:t xml:space="preserve"> affirmant que la procédure </w:t>
      </w:r>
      <w:r w:rsidR="00DE44D1" w:rsidRPr="00357DC2">
        <w:rPr>
          <w:lang w:val="fr-FR"/>
        </w:rPr>
        <w:t xml:space="preserve">de réouverture menée devant la Cour de cassation avait </w:t>
      </w:r>
      <w:r w:rsidR="00302462" w:rsidRPr="00357DC2">
        <w:rPr>
          <w:lang w:val="fr-FR"/>
        </w:rPr>
        <w:t xml:space="preserve">satisfait aux exigences du débat </w:t>
      </w:r>
      <w:r w:rsidR="00DE44D1" w:rsidRPr="00357DC2">
        <w:rPr>
          <w:lang w:val="fr-FR"/>
        </w:rPr>
        <w:t xml:space="preserve">contradictoire </w:t>
      </w:r>
      <w:r w:rsidR="00B1120E" w:rsidRPr="00357DC2">
        <w:rPr>
          <w:lang w:val="fr-FR"/>
        </w:rPr>
        <w:t xml:space="preserve">et </w:t>
      </w:r>
      <w:r w:rsidR="00BA3113" w:rsidRPr="00357DC2">
        <w:rPr>
          <w:lang w:val="fr-FR"/>
        </w:rPr>
        <w:t>qu</w:t>
      </w:r>
      <w:r w:rsidR="00357DC2" w:rsidRPr="00357DC2">
        <w:rPr>
          <w:lang w:val="fr-FR"/>
        </w:rPr>
        <w:t>’</w:t>
      </w:r>
      <w:r w:rsidR="00BA3113" w:rsidRPr="00357DC2">
        <w:rPr>
          <w:lang w:val="fr-FR"/>
        </w:rPr>
        <w:t xml:space="preserve">elle </w:t>
      </w:r>
      <w:r w:rsidR="00302462" w:rsidRPr="00357DC2">
        <w:rPr>
          <w:lang w:val="fr-FR"/>
        </w:rPr>
        <w:t xml:space="preserve">avait garanti les droits </w:t>
      </w:r>
      <w:r w:rsidR="00EC0C75" w:rsidRPr="00357DC2">
        <w:rPr>
          <w:lang w:val="fr-FR"/>
        </w:rPr>
        <w:t>à</w:t>
      </w:r>
      <w:r w:rsidR="00B1120E" w:rsidRPr="00357DC2">
        <w:rPr>
          <w:lang w:val="fr-FR"/>
        </w:rPr>
        <w:t xml:space="preserve"> la défense </w:t>
      </w:r>
      <w:r w:rsidR="00DE44D1" w:rsidRPr="00357DC2">
        <w:rPr>
          <w:lang w:val="fr-FR"/>
        </w:rPr>
        <w:t>du requérant</w:t>
      </w:r>
      <w:r w:rsidR="00BA3113" w:rsidRPr="00357DC2">
        <w:rPr>
          <w:lang w:val="fr-FR"/>
        </w:rPr>
        <w:t>,</w:t>
      </w:r>
      <w:r w:rsidR="00DE44D1" w:rsidRPr="00357DC2">
        <w:rPr>
          <w:lang w:val="fr-FR"/>
        </w:rPr>
        <w:t xml:space="preserve"> et</w:t>
      </w:r>
      <w:r w:rsidR="00BA3113" w:rsidRPr="00357DC2">
        <w:rPr>
          <w:lang w:val="fr-FR"/>
        </w:rPr>
        <w:t xml:space="preserve"> que</w:t>
      </w:r>
      <w:r w:rsidR="00DE44D1" w:rsidRPr="00357DC2">
        <w:rPr>
          <w:lang w:val="fr-FR"/>
        </w:rPr>
        <w:t>, par conséquent,</w:t>
      </w:r>
      <w:r w:rsidR="00B1120E" w:rsidRPr="00357DC2">
        <w:rPr>
          <w:lang w:val="fr-FR"/>
        </w:rPr>
        <w:t xml:space="preserve"> </w:t>
      </w:r>
      <w:r w:rsidR="00BA3113" w:rsidRPr="00357DC2">
        <w:rPr>
          <w:lang w:val="fr-FR"/>
        </w:rPr>
        <w:t xml:space="preserve">elle </w:t>
      </w:r>
      <w:r w:rsidR="00B1120E" w:rsidRPr="00357DC2">
        <w:rPr>
          <w:lang w:val="fr-FR"/>
        </w:rPr>
        <w:t>avait</w:t>
      </w:r>
      <w:r w:rsidR="00DE44D1" w:rsidRPr="00357DC2">
        <w:rPr>
          <w:lang w:val="fr-FR"/>
        </w:rPr>
        <w:t xml:space="preserve"> respecté les indications </w:t>
      </w:r>
      <w:r w:rsidR="00BA3113" w:rsidRPr="00357DC2">
        <w:rPr>
          <w:lang w:val="fr-FR"/>
        </w:rPr>
        <w:t xml:space="preserve">données </w:t>
      </w:r>
      <w:r w:rsidR="006F5711" w:rsidRPr="00357DC2">
        <w:rPr>
          <w:lang w:val="fr-FR"/>
        </w:rPr>
        <w:t xml:space="preserve">par la Cour européenne </w:t>
      </w:r>
      <w:r w:rsidR="00BA3113" w:rsidRPr="00357DC2">
        <w:rPr>
          <w:lang w:val="fr-FR"/>
        </w:rPr>
        <w:t>dans</w:t>
      </w:r>
      <w:r w:rsidR="00DE44D1" w:rsidRPr="00357DC2">
        <w:rPr>
          <w:lang w:val="fr-FR"/>
        </w:rPr>
        <w:t xml:space="preserve"> </w:t>
      </w:r>
      <w:r w:rsidR="006F5711" w:rsidRPr="00357DC2">
        <w:rPr>
          <w:lang w:val="fr-FR"/>
        </w:rPr>
        <w:t xml:space="preserve">son arrêt </w:t>
      </w:r>
      <w:r w:rsidR="00B1120E" w:rsidRPr="00357DC2">
        <w:rPr>
          <w:i/>
          <w:lang w:val="fr-FR"/>
        </w:rPr>
        <w:t xml:space="preserve">Drassich c. </w:t>
      </w:r>
      <w:r w:rsidR="00AE28C7" w:rsidRPr="00357DC2">
        <w:rPr>
          <w:i/>
          <w:lang w:val="fr-FR"/>
        </w:rPr>
        <w:t xml:space="preserve">Italie </w:t>
      </w:r>
      <w:r w:rsidR="00AE28C7" w:rsidRPr="00357DC2">
        <w:rPr>
          <w:lang w:val="fr-FR"/>
        </w:rPr>
        <w:t>(précité)</w:t>
      </w:r>
      <w:r w:rsidR="00DE44D1" w:rsidRPr="00357DC2">
        <w:rPr>
          <w:lang w:val="fr-FR"/>
        </w:rPr>
        <w:t>.</w:t>
      </w:r>
      <w:bookmarkStart w:id="3" w:name="revisioncc"/>
    </w:p>
    <w:p w:rsidR="007A6B24" w:rsidRPr="00357DC2" w:rsidRDefault="00DE44D1"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31</w:t>
      </w:r>
      <w:r w:rsidRPr="00357DC2">
        <w:rPr>
          <w:lang w:val="fr-FR"/>
        </w:rPr>
        <w:fldChar w:fldCharType="end"/>
      </w:r>
      <w:bookmarkEnd w:id="3"/>
      <w:r w:rsidRPr="00357DC2">
        <w:rPr>
          <w:lang w:val="fr-FR"/>
        </w:rPr>
        <w:t xml:space="preserve">.  Le 15 mai 2013, la Cour de cassation </w:t>
      </w:r>
      <w:r w:rsidR="007E4C11" w:rsidRPr="00357DC2">
        <w:rPr>
          <w:lang w:val="fr-FR"/>
        </w:rPr>
        <w:t xml:space="preserve">rejeta le pourvoi </w:t>
      </w:r>
      <w:r w:rsidR="006F5711" w:rsidRPr="00357DC2">
        <w:rPr>
          <w:lang w:val="fr-FR"/>
        </w:rPr>
        <w:t xml:space="preserve">formé par le </w:t>
      </w:r>
      <w:r w:rsidR="007E4C11" w:rsidRPr="00357DC2">
        <w:rPr>
          <w:lang w:val="fr-FR"/>
        </w:rPr>
        <w:t>requérant et confirma l</w:t>
      </w:r>
      <w:r w:rsidR="00357DC2" w:rsidRPr="00357DC2">
        <w:rPr>
          <w:lang w:val="fr-FR"/>
        </w:rPr>
        <w:t>’</w:t>
      </w:r>
      <w:r w:rsidR="007E4C11" w:rsidRPr="00357DC2">
        <w:rPr>
          <w:lang w:val="fr-FR"/>
        </w:rPr>
        <w:t>arrêt de la cour d</w:t>
      </w:r>
      <w:r w:rsidR="00357DC2" w:rsidRPr="00357DC2">
        <w:rPr>
          <w:lang w:val="fr-FR"/>
        </w:rPr>
        <w:t>’</w:t>
      </w:r>
      <w:r w:rsidR="007E4C11" w:rsidRPr="00357DC2">
        <w:rPr>
          <w:lang w:val="fr-FR"/>
        </w:rPr>
        <w:t>appel.</w:t>
      </w:r>
      <w:r w:rsidR="00DC7E07" w:rsidRPr="00357DC2">
        <w:rPr>
          <w:lang w:val="fr-FR"/>
        </w:rPr>
        <w:t xml:space="preserve"> </w:t>
      </w:r>
      <w:r w:rsidR="00D75ECB" w:rsidRPr="00357DC2">
        <w:rPr>
          <w:lang w:val="fr-FR"/>
        </w:rPr>
        <w:t>Concernant l</w:t>
      </w:r>
      <w:r w:rsidR="00357DC2" w:rsidRPr="00357DC2">
        <w:rPr>
          <w:lang w:val="fr-FR"/>
        </w:rPr>
        <w:t>’</w:t>
      </w:r>
      <w:r w:rsidR="00D75ECB" w:rsidRPr="00357DC2">
        <w:rPr>
          <w:lang w:val="fr-FR"/>
        </w:rPr>
        <w:t>argument</w:t>
      </w:r>
      <w:r w:rsidR="00273680" w:rsidRPr="00357DC2">
        <w:rPr>
          <w:lang w:val="fr-FR"/>
        </w:rPr>
        <w:t xml:space="preserve"> du requérant</w:t>
      </w:r>
      <w:r w:rsidR="00D75ECB" w:rsidRPr="00357DC2">
        <w:rPr>
          <w:lang w:val="fr-FR"/>
        </w:rPr>
        <w:t xml:space="preserve"> selon lequel </w:t>
      </w:r>
      <w:r w:rsidR="00273680" w:rsidRPr="00357DC2">
        <w:rPr>
          <w:lang w:val="fr-FR"/>
        </w:rPr>
        <w:t>l</w:t>
      </w:r>
      <w:r w:rsidR="00357DC2" w:rsidRPr="00357DC2">
        <w:rPr>
          <w:lang w:val="fr-FR"/>
        </w:rPr>
        <w:t>’</w:t>
      </w:r>
      <w:r w:rsidR="00273680" w:rsidRPr="00357DC2">
        <w:rPr>
          <w:lang w:val="fr-FR"/>
        </w:rPr>
        <w:t xml:space="preserve">application </w:t>
      </w:r>
      <w:r w:rsidR="00541402" w:rsidRPr="00357DC2">
        <w:rPr>
          <w:lang w:val="fr-FR"/>
        </w:rPr>
        <w:t xml:space="preserve">par analogie </w:t>
      </w:r>
      <w:r w:rsidR="00273680" w:rsidRPr="00357DC2">
        <w:rPr>
          <w:lang w:val="fr-FR"/>
        </w:rPr>
        <w:t xml:space="preserve">de </w:t>
      </w:r>
      <w:r w:rsidR="008373D6" w:rsidRPr="00357DC2">
        <w:rPr>
          <w:lang w:val="fr-FR"/>
        </w:rPr>
        <w:t>l</w:t>
      </w:r>
      <w:r w:rsidR="00357DC2" w:rsidRPr="00357DC2">
        <w:rPr>
          <w:lang w:val="fr-FR"/>
        </w:rPr>
        <w:t>’</w:t>
      </w:r>
      <w:r w:rsidR="008373D6" w:rsidRPr="00357DC2">
        <w:rPr>
          <w:lang w:val="fr-FR"/>
        </w:rPr>
        <w:t>article 625</w:t>
      </w:r>
      <w:r w:rsidR="006F5711" w:rsidRPr="00357DC2">
        <w:rPr>
          <w:lang w:val="fr-FR"/>
        </w:rPr>
        <w:t xml:space="preserve"> </w:t>
      </w:r>
      <w:r w:rsidR="00FB08BA" w:rsidRPr="00357DC2">
        <w:rPr>
          <w:i/>
          <w:lang w:val="fr-FR"/>
        </w:rPr>
        <w:t>bis</w:t>
      </w:r>
      <w:r w:rsidR="00FB08BA" w:rsidRPr="00357DC2">
        <w:rPr>
          <w:lang w:val="fr-FR"/>
        </w:rPr>
        <w:t xml:space="preserve"> </w:t>
      </w:r>
      <w:r w:rsidR="00273680" w:rsidRPr="00357DC2">
        <w:rPr>
          <w:lang w:val="fr-FR"/>
        </w:rPr>
        <w:t>n</w:t>
      </w:r>
      <w:r w:rsidR="00FB0369" w:rsidRPr="00357DC2">
        <w:rPr>
          <w:lang w:val="fr-FR"/>
        </w:rPr>
        <w:t xml:space="preserve">e lui </w:t>
      </w:r>
      <w:r w:rsidR="00273680" w:rsidRPr="00357DC2">
        <w:rPr>
          <w:lang w:val="fr-FR"/>
        </w:rPr>
        <w:t>avait pas permis de réadapter sa stratégie de défense et</w:t>
      </w:r>
      <w:r w:rsidR="00FB0369" w:rsidRPr="00357DC2">
        <w:rPr>
          <w:lang w:val="fr-FR"/>
        </w:rPr>
        <w:t xml:space="preserve"> de</w:t>
      </w:r>
      <w:r w:rsidR="00273680" w:rsidRPr="00357DC2">
        <w:rPr>
          <w:lang w:val="fr-FR"/>
        </w:rPr>
        <w:t xml:space="preserve"> </w:t>
      </w:r>
      <w:r w:rsidR="00C95F81" w:rsidRPr="00357DC2">
        <w:rPr>
          <w:lang w:val="fr-FR"/>
        </w:rPr>
        <w:t xml:space="preserve">solliciter </w:t>
      </w:r>
      <w:r w:rsidR="00273680" w:rsidRPr="00357DC2">
        <w:rPr>
          <w:lang w:val="fr-FR"/>
        </w:rPr>
        <w:t>le cas échéant de nouvelles preuve</w:t>
      </w:r>
      <w:r w:rsidR="00FB0369" w:rsidRPr="00357DC2">
        <w:rPr>
          <w:lang w:val="fr-FR"/>
        </w:rPr>
        <w:t>s</w:t>
      </w:r>
      <w:r w:rsidR="00273680" w:rsidRPr="00357DC2">
        <w:rPr>
          <w:lang w:val="fr-FR"/>
        </w:rPr>
        <w:t>, la Cour de cassation</w:t>
      </w:r>
      <w:r w:rsidR="00523A90" w:rsidRPr="00357DC2">
        <w:rPr>
          <w:lang w:val="fr-FR"/>
        </w:rPr>
        <w:t xml:space="preserve"> releva que le requérant n</w:t>
      </w:r>
      <w:r w:rsidR="00357DC2" w:rsidRPr="00357DC2">
        <w:rPr>
          <w:lang w:val="fr-FR"/>
        </w:rPr>
        <w:t>’</w:t>
      </w:r>
      <w:r w:rsidR="00523A90" w:rsidRPr="00357DC2">
        <w:rPr>
          <w:lang w:val="fr-FR"/>
        </w:rPr>
        <w:t xml:space="preserve">avait pas soulevé </w:t>
      </w:r>
      <w:r w:rsidR="00273680" w:rsidRPr="00357DC2">
        <w:rPr>
          <w:lang w:val="fr-FR"/>
        </w:rPr>
        <w:t xml:space="preserve">cette question </w:t>
      </w:r>
      <w:r w:rsidR="00FB0369" w:rsidRPr="00357DC2">
        <w:rPr>
          <w:lang w:val="fr-FR"/>
        </w:rPr>
        <w:t>en cassation à la suite de la</w:t>
      </w:r>
      <w:r w:rsidR="00273680" w:rsidRPr="00357DC2">
        <w:rPr>
          <w:lang w:val="fr-FR"/>
        </w:rPr>
        <w:t xml:space="preserve"> révocation partielle de sa condamnation. </w:t>
      </w:r>
      <w:r w:rsidR="001225FE" w:rsidRPr="00357DC2">
        <w:rPr>
          <w:lang w:val="fr-FR"/>
        </w:rPr>
        <w:t>Par ailleurs</w:t>
      </w:r>
      <w:r w:rsidR="005A681D" w:rsidRPr="00357DC2">
        <w:rPr>
          <w:lang w:val="fr-FR"/>
        </w:rPr>
        <w:t xml:space="preserve">, </w:t>
      </w:r>
      <w:r w:rsidR="00205D6A" w:rsidRPr="00357DC2">
        <w:rPr>
          <w:lang w:val="fr-FR"/>
        </w:rPr>
        <w:t xml:space="preserve">elle observa que </w:t>
      </w:r>
      <w:r w:rsidR="005A681D" w:rsidRPr="00357DC2">
        <w:rPr>
          <w:lang w:val="fr-FR"/>
        </w:rPr>
        <w:t xml:space="preserve">la procédure </w:t>
      </w:r>
      <w:r w:rsidR="00173440" w:rsidRPr="00357DC2">
        <w:rPr>
          <w:lang w:val="fr-FR"/>
        </w:rPr>
        <w:t>entamée devant elle</w:t>
      </w:r>
      <w:r w:rsidR="00FB0369" w:rsidRPr="00357DC2">
        <w:rPr>
          <w:lang w:val="fr-FR"/>
        </w:rPr>
        <w:t xml:space="preserve"> aurait pu se terminer </w:t>
      </w:r>
      <w:r w:rsidR="00A22A07" w:rsidRPr="00357DC2">
        <w:rPr>
          <w:lang w:val="fr-FR"/>
        </w:rPr>
        <w:t>par un</w:t>
      </w:r>
      <w:r w:rsidR="00FB0369" w:rsidRPr="00357DC2">
        <w:rPr>
          <w:lang w:val="fr-FR"/>
        </w:rPr>
        <w:t xml:space="preserve"> renvoi devant </w:t>
      </w:r>
      <w:r w:rsidR="00F40B7D" w:rsidRPr="00357DC2">
        <w:rPr>
          <w:lang w:val="fr-FR"/>
        </w:rPr>
        <w:t>l</w:t>
      </w:r>
      <w:r w:rsidR="00FB0369" w:rsidRPr="00357DC2">
        <w:rPr>
          <w:lang w:val="fr-FR"/>
        </w:rPr>
        <w:t>a cour d</w:t>
      </w:r>
      <w:r w:rsidR="00357DC2" w:rsidRPr="00357DC2">
        <w:rPr>
          <w:lang w:val="fr-FR"/>
        </w:rPr>
        <w:t>’</w:t>
      </w:r>
      <w:r w:rsidR="00FB0369" w:rsidRPr="00357DC2">
        <w:rPr>
          <w:lang w:val="fr-FR"/>
        </w:rPr>
        <w:t xml:space="preserve">appel </w:t>
      </w:r>
      <w:r w:rsidR="00541402" w:rsidRPr="00357DC2">
        <w:rPr>
          <w:lang w:val="fr-FR"/>
        </w:rPr>
        <w:t>s</w:t>
      </w:r>
      <w:r w:rsidR="00357DC2" w:rsidRPr="00357DC2">
        <w:rPr>
          <w:lang w:val="fr-FR"/>
        </w:rPr>
        <w:t>’</w:t>
      </w:r>
      <w:r w:rsidR="00541402" w:rsidRPr="00357DC2">
        <w:rPr>
          <w:lang w:val="fr-FR"/>
        </w:rPr>
        <w:t>il s</w:t>
      </w:r>
      <w:r w:rsidR="00357DC2" w:rsidRPr="00357DC2">
        <w:rPr>
          <w:lang w:val="fr-FR"/>
        </w:rPr>
        <w:t>’</w:t>
      </w:r>
      <w:r w:rsidR="00541402" w:rsidRPr="00357DC2">
        <w:rPr>
          <w:lang w:val="fr-FR"/>
        </w:rPr>
        <w:t xml:space="preserve">était </w:t>
      </w:r>
      <w:r w:rsidR="00BA3113" w:rsidRPr="00357DC2">
        <w:rPr>
          <w:lang w:val="fr-FR"/>
        </w:rPr>
        <w:t xml:space="preserve">révélé </w:t>
      </w:r>
      <w:r w:rsidR="00541402" w:rsidRPr="00357DC2">
        <w:rPr>
          <w:lang w:val="fr-FR"/>
        </w:rPr>
        <w:t xml:space="preserve">nécessaire de </w:t>
      </w:r>
      <w:r w:rsidR="00E8034A" w:rsidRPr="00357DC2">
        <w:rPr>
          <w:lang w:val="fr-FR"/>
        </w:rPr>
        <w:t>rouvrir</w:t>
      </w:r>
      <w:r w:rsidR="00541402" w:rsidRPr="00357DC2">
        <w:rPr>
          <w:lang w:val="fr-FR"/>
        </w:rPr>
        <w:t xml:space="preserve"> l</w:t>
      </w:r>
      <w:r w:rsidR="00357DC2" w:rsidRPr="00357DC2">
        <w:rPr>
          <w:lang w:val="fr-FR"/>
        </w:rPr>
        <w:t>’</w:t>
      </w:r>
      <w:r w:rsidR="00541402" w:rsidRPr="00357DC2">
        <w:rPr>
          <w:lang w:val="fr-FR"/>
        </w:rPr>
        <w:t xml:space="preserve">instruction </w:t>
      </w:r>
      <w:r w:rsidR="00F40B7D" w:rsidRPr="00357DC2">
        <w:rPr>
          <w:lang w:val="fr-FR"/>
        </w:rPr>
        <w:t>a</w:t>
      </w:r>
      <w:r w:rsidR="00BA3113" w:rsidRPr="00357DC2">
        <w:rPr>
          <w:lang w:val="fr-FR"/>
        </w:rPr>
        <w:t xml:space="preserve">ux </w:t>
      </w:r>
      <w:r w:rsidR="00F40B7D" w:rsidRPr="00357DC2">
        <w:rPr>
          <w:lang w:val="fr-FR"/>
        </w:rPr>
        <w:t>fin</w:t>
      </w:r>
      <w:r w:rsidR="00BA3113" w:rsidRPr="00357DC2">
        <w:rPr>
          <w:lang w:val="fr-FR"/>
        </w:rPr>
        <w:t>s</w:t>
      </w:r>
      <w:r w:rsidR="00F40B7D" w:rsidRPr="00357DC2">
        <w:rPr>
          <w:lang w:val="fr-FR"/>
        </w:rPr>
        <w:t xml:space="preserve"> d</w:t>
      </w:r>
      <w:r w:rsidR="00357DC2" w:rsidRPr="00357DC2">
        <w:rPr>
          <w:lang w:val="fr-FR"/>
        </w:rPr>
        <w:t>’</w:t>
      </w:r>
      <w:r w:rsidR="00541402" w:rsidRPr="00357DC2">
        <w:rPr>
          <w:lang w:val="fr-FR"/>
        </w:rPr>
        <w:t xml:space="preserve">obtenir </w:t>
      </w:r>
      <w:r w:rsidR="00C95F81" w:rsidRPr="00357DC2">
        <w:rPr>
          <w:lang w:val="fr-FR"/>
        </w:rPr>
        <w:t>les</w:t>
      </w:r>
      <w:r w:rsidR="00541402" w:rsidRPr="00357DC2">
        <w:rPr>
          <w:lang w:val="fr-FR"/>
        </w:rPr>
        <w:t xml:space="preserve"> nouvelles preuves</w:t>
      </w:r>
      <w:r w:rsidR="00F40B7D" w:rsidRPr="00357DC2">
        <w:rPr>
          <w:lang w:val="fr-FR"/>
        </w:rPr>
        <w:t xml:space="preserve"> </w:t>
      </w:r>
      <w:r w:rsidR="009D1AEB" w:rsidRPr="00357DC2">
        <w:rPr>
          <w:lang w:val="fr-FR"/>
        </w:rPr>
        <w:t>demandées</w:t>
      </w:r>
      <w:r w:rsidR="003171D5" w:rsidRPr="00357DC2">
        <w:rPr>
          <w:lang w:val="fr-FR"/>
        </w:rPr>
        <w:t xml:space="preserve"> par le requérant</w:t>
      </w:r>
      <w:r w:rsidR="00541402" w:rsidRPr="00357DC2">
        <w:rPr>
          <w:lang w:val="fr-FR"/>
        </w:rPr>
        <w:t>.</w:t>
      </w:r>
    </w:p>
    <w:p w:rsidR="00520396" w:rsidRPr="00357DC2" w:rsidRDefault="00520396" w:rsidP="00357DC2">
      <w:pPr>
        <w:pStyle w:val="ECHRHeading1"/>
        <w:rPr>
          <w:lang w:val="fr-FR"/>
        </w:rPr>
      </w:pPr>
      <w:r w:rsidRPr="00357DC2">
        <w:rPr>
          <w:lang w:val="fr-FR"/>
        </w:rPr>
        <w:lastRenderedPageBreak/>
        <w:t>II.  LE DROIT ET LA PRATIQUE INTERNES PERTINENTS</w:t>
      </w:r>
    </w:p>
    <w:p w:rsidR="00520396" w:rsidRPr="00357DC2" w:rsidRDefault="007B7FCF" w:rsidP="00357DC2">
      <w:pPr>
        <w:pStyle w:val="ECHRHeading2"/>
        <w:rPr>
          <w:lang w:val="fr-FR"/>
        </w:rPr>
      </w:pPr>
      <w:r w:rsidRPr="00357DC2">
        <w:rPr>
          <w:lang w:val="fr-FR"/>
        </w:rPr>
        <w:t>A</w:t>
      </w:r>
      <w:r w:rsidR="00520396" w:rsidRPr="00357DC2">
        <w:rPr>
          <w:lang w:val="fr-FR"/>
        </w:rPr>
        <w:t>.  Le code pénal</w:t>
      </w:r>
    </w:p>
    <w:p w:rsidR="00520396" w:rsidRPr="00357DC2" w:rsidRDefault="000C5BB0"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32</w:t>
      </w:r>
      <w:r w:rsidRPr="00357DC2">
        <w:rPr>
          <w:lang w:val="fr-FR"/>
        </w:rPr>
        <w:fldChar w:fldCharType="end"/>
      </w:r>
      <w:r w:rsidRPr="00357DC2">
        <w:rPr>
          <w:lang w:val="fr-FR"/>
        </w:rPr>
        <w:t>.  </w:t>
      </w:r>
      <w:r w:rsidR="00520396" w:rsidRPr="00357DC2">
        <w:rPr>
          <w:lang w:val="fr-FR"/>
        </w:rPr>
        <w:t>L</w:t>
      </w:r>
      <w:r w:rsidR="00357DC2" w:rsidRPr="00357DC2">
        <w:rPr>
          <w:lang w:val="fr-FR"/>
        </w:rPr>
        <w:t>’</w:t>
      </w:r>
      <w:r w:rsidR="00520396" w:rsidRPr="00357DC2">
        <w:rPr>
          <w:lang w:val="fr-FR"/>
        </w:rPr>
        <w:t xml:space="preserve">article 319 du </w:t>
      </w:r>
      <w:r w:rsidR="00BA3113" w:rsidRPr="00357DC2">
        <w:rPr>
          <w:lang w:val="fr-FR"/>
        </w:rPr>
        <w:t>CP</w:t>
      </w:r>
      <w:r w:rsidR="00520396" w:rsidRPr="00357DC2">
        <w:rPr>
          <w:lang w:val="fr-FR"/>
        </w:rPr>
        <w:t xml:space="preserve"> se lit ainsi :</w:t>
      </w:r>
    </w:p>
    <w:p w:rsidR="00520396" w:rsidRPr="00357DC2" w:rsidRDefault="00520396" w:rsidP="00357DC2">
      <w:pPr>
        <w:pStyle w:val="ECHRParaQuote"/>
        <w:rPr>
          <w:lang w:val="fr-FR"/>
        </w:rPr>
      </w:pPr>
      <w:r w:rsidRPr="00357DC2">
        <w:rPr>
          <w:lang w:val="fr-FR"/>
        </w:rPr>
        <w:t>« </w:t>
      </w:r>
      <w:r w:rsidR="004E01A3" w:rsidRPr="00357DC2">
        <w:rPr>
          <w:i/>
          <w:lang w:val="fr-FR"/>
        </w:rPr>
        <w:t>Corruption pour des actes contraires au</w:t>
      </w:r>
      <w:r w:rsidR="00C05BB1" w:rsidRPr="00357DC2">
        <w:rPr>
          <w:i/>
          <w:lang w:val="fr-FR"/>
        </w:rPr>
        <w:t>x</w:t>
      </w:r>
      <w:r w:rsidR="004E01A3" w:rsidRPr="00357DC2">
        <w:rPr>
          <w:i/>
          <w:lang w:val="fr-FR"/>
        </w:rPr>
        <w:t xml:space="preserve"> devoir</w:t>
      </w:r>
      <w:r w:rsidR="00C05BB1" w:rsidRPr="00357DC2">
        <w:rPr>
          <w:i/>
          <w:lang w:val="fr-FR"/>
        </w:rPr>
        <w:t>s</w:t>
      </w:r>
      <w:r w:rsidR="004E01A3" w:rsidRPr="00357DC2">
        <w:rPr>
          <w:i/>
          <w:lang w:val="fr-FR"/>
        </w:rPr>
        <w:t xml:space="preserve"> public</w:t>
      </w:r>
      <w:r w:rsidR="00C05BB1" w:rsidRPr="00357DC2">
        <w:rPr>
          <w:i/>
          <w:lang w:val="fr-FR"/>
        </w:rPr>
        <w:t>s</w:t>
      </w:r>
      <w:r w:rsidRPr="00357DC2">
        <w:rPr>
          <w:lang w:val="fr-FR"/>
        </w:rPr>
        <w:t xml:space="preserve">. Le fonctionnaire public qui, </w:t>
      </w:r>
      <w:r w:rsidR="00277D89" w:rsidRPr="00357DC2">
        <w:rPr>
          <w:lang w:val="fr-FR"/>
        </w:rPr>
        <w:t>pour</w:t>
      </w:r>
      <w:r w:rsidR="00BA3113" w:rsidRPr="00357DC2">
        <w:rPr>
          <w:lang w:val="fr-FR"/>
        </w:rPr>
        <w:t xml:space="preserve"> </w:t>
      </w:r>
      <w:r w:rsidRPr="00357DC2">
        <w:rPr>
          <w:lang w:val="fr-FR"/>
        </w:rPr>
        <w:t>omett</w:t>
      </w:r>
      <w:r w:rsidR="00277D89" w:rsidRPr="00357DC2">
        <w:rPr>
          <w:lang w:val="fr-FR"/>
        </w:rPr>
        <w:t>re</w:t>
      </w:r>
      <w:r w:rsidRPr="00357DC2">
        <w:rPr>
          <w:lang w:val="fr-FR"/>
        </w:rPr>
        <w:t xml:space="preserve"> ou retard</w:t>
      </w:r>
      <w:r w:rsidR="00277D89" w:rsidRPr="00357DC2">
        <w:rPr>
          <w:lang w:val="fr-FR"/>
        </w:rPr>
        <w:t>er</w:t>
      </w:r>
      <w:r w:rsidRPr="00357DC2">
        <w:rPr>
          <w:lang w:val="fr-FR"/>
        </w:rPr>
        <w:t xml:space="preserve"> (...) un acte entrant dans l</w:t>
      </w:r>
      <w:r w:rsidR="00357DC2" w:rsidRPr="00357DC2">
        <w:rPr>
          <w:lang w:val="fr-FR"/>
        </w:rPr>
        <w:t>’</w:t>
      </w:r>
      <w:r w:rsidRPr="00357DC2">
        <w:rPr>
          <w:lang w:val="fr-FR"/>
        </w:rPr>
        <w:t xml:space="preserve">exercice de ses fonctions, ou </w:t>
      </w:r>
      <w:r w:rsidR="00277D89" w:rsidRPr="00357DC2">
        <w:rPr>
          <w:lang w:val="fr-FR"/>
        </w:rPr>
        <w:t xml:space="preserve">pour </w:t>
      </w:r>
      <w:r w:rsidRPr="00357DC2">
        <w:rPr>
          <w:lang w:val="fr-FR"/>
        </w:rPr>
        <w:t>accompli</w:t>
      </w:r>
      <w:r w:rsidR="00277D89" w:rsidRPr="00357DC2">
        <w:rPr>
          <w:lang w:val="fr-FR"/>
        </w:rPr>
        <w:t>r</w:t>
      </w:r>
      <w:r w:rsidRPr="00357DC2">
        <w:rPr>
          <w:lang w:val="fr-FR"/>
        </w:rPr>
        <w:t xml:space="preserve"> un acte contraire à ses devoirs publics, reçoit de l</w:t>
      </w:r>
      <w:r w:rsidR="00357DC2" w:rsidRPr="00357DC2">
        <w:rPr>
          <w:lang w:val="fr-FR"/>
        </w:rPr>
        <w:t>’</w:t>
      </w:r>
      <w:r w:rsidRPr="00357DC2">
        <w:rPr>
          <w:lang w:val="fr-FR"/>
        </w:rPr>
        <w:t>argent ou d</w:t>
      </w:r>
      <w:r w:rsidR="00357DC2" w:rsidRPr="00357DC2">
        <w:rPr>
          <w:lang w:val="fr-FR"/>
        </w:rPr>
        <w:t>’</w:t>
      </w:r>
      <w:r w:rsidRPr="00357DC2">
        <w:rPr>
          <w:lang w:val="fr-FR"/>
        </w:rPr>
        <w:t>autres bénéfices ou accepte la promesse</w:t>
      </w:r>
      <w:r w:rsidR="00BA3113" w:rsidRPr="00357DC2">
        <w:rPr>
          <w:lang w:val="fr-FR"/>
        </w:rPr>
        <w:t xml:space="preserve"> d</w:t>
      </w:r>
      <w:r w:rsidR="00357DC2" w:rsidRPr="00357DC2">
        <w:rPr>
          <w:lang w:val="fr-FR"/>
        </w:rPr>
        <w:t>’</w:t>
      </w:r>
      <w:r w:rsidR="00BA3113" w:rsidRPr="00357DC2">
        <w:rPr>
          <w:lang w:val="fr-FR"/>
        </w:rPr>
        <w:t>en recevoir</w:t>
      </w:r>
      <w:r w:rsidRPr="00357DC2">
        <w:rPr>
          <w:lang w:val="fr-FR"/>
        </w:rPr>
        <w:t xml:space="preserve"> est puni d</w:t>
      </w:r>
      <w:r w:rsidR="00357DC2" w:rsidRPr="00357DC2">
        <w:rPr>
          <w:lang w:val="fr-FR"/>
        </w:rPr>
        <w:t>’</w:t>
      </w:r>
      <w:r w:rsidRPr="00357DC2">
        <w:rPr>
          <w:lang w:val="fr-FR"/>
        </w:rPr>
        <w:t>une peine de deux à cinq ans</w:t>
      </w:r>
      <w:r w:rsidR="00BA3113" w:rsidRPr="00357DC2">
        <w:rPr>
          <w:lang w:val="fr-FR"/>
        </w:rPr>
        <w:t xml:space="preserve"> </w:t>
      </w:r>
      <w:r w:rsidRPr="00357DC2">
        <w:rPr>
          <w:lang w:val="fr-FR"/>
        </w:rPr>
        <w:t>d</w:t>
      </w:r>
      <w:r w:rsidR="00357DC2" w:rsidRPr="00357DC2">
        <w:rPr>
          <w:lang w:val="fr-FR"/>
        </w:rPr>
        <w:t>’</w:t>
      </w:r>
      <w:r w:rsidRPr="00357DC2">
        <w:rPr>
          <w:lang w:val="fr-FR"/>
        </w:rPr>
        <w:t>emprisonnement</w:t>
      </w:r>
      <w:r w:rsidR="00BA3113" w:rsidRPr="00357DC2">
        <w:rPr>
          <w:lang w:val="fr-FR"/>
        </w:rPr>
        <w:t>.</w:t>
      </w:r>
      <w:r w:rsidRPr="00357DC2">
        <w:rPr>
          <w:lang w:val="fr-FR"/>
        </w:rPr>
        <w:t> »</w:t>
      </w:r>
    </w:p>
    <w:p w:rsidR="00520396" w:rsidRPr="00357DC2" w:rsidRDefault="00520396" w:rsidP="00357DC2">
      <w:pPr>
        <w:pStyle w:val="ECHRPara"/>
        <w:rPr>
          <w:lang w:val="fr-FR"/>
        </w:rPr>
      </w:pPr>
      <w:r w:rsidRPr="00357DC2">
        <w:rPr>
          <w:lang w:val="fr-FR"/>
        </w:rPr>
        <w:t>L</w:t>
      </w:r>
      <w:r w:rsidR="00357DC2" w:rsidRPr="00357DC2">
        <w:rPr>
          <w:lang w:val="fr-FR"/>
        </w:rPr>
        <w:t>’</w:t>
      </w:r>
      <w:r w:rsidRPr="00357DC2">
        <w:rPr>
          <w:lang w:val="fr-FR"/>
        </w:rPr>
        <w:t>article 319</w:t>
      </w:r>
      <w:r w:rsidR="00277D89" w:rsidRPr="00357DC2">
        <w:rPr>
          <w:lang w:val="fr-FR"/>
        </w:rPr>
        <w:t xml:space="preserve"> </w:t>
      </w:r>
      <w:r w:rsidRPr="00357DC2">
        <w:rPr>
          <w:i/>
          <w:lang w:val="fr-FR"/>
        </w:rPr>
        <w:t>bis</w:t>
      </w:r>
      <w:r w:rsidRPr="00357DC2">
        <w:rPr>
          <w:lang w:val="fr-FR"/>
        </w:rPr>
        <w:t xml:space="preserve"> </w:t>
      </w:r>
      <w:r w:rsidR="00277D89" w:rsidRPr="00357DC2">
        <w:rPr>
          <w:lang w:val="fr-FR"/>
        </w:rPr>
        <w:t>du CP</w:t>
      </w:r>
      <w:r w:rsidR="00BA3113" w:rsidRPr="00357DC2">
        <w:rPr>
          <w:lang w:val="fr-FR"/>
        </w:rPr>
        <w:t xml:space="preserve"> </w:t>
      </w:r>
      <w:r w:rsidRPr="00357DC2">
        <w:rPr>
          <w:lang w:val="fr-FR"/>
        </w:rPr>
        <w:t>prévoit les circonstances aggravantes du délit ci-dessus :</w:t>
      </w:r>
    </w:p>
    <w:p w:rsidR="00520396" w:rsidRPr="00357DC2" w:rsidRDefault="00520396" w:rsidP="00357DC2">
      <w:pPr>
        <w:pStyle w:val="ECHRParaQuote"/>
        <w:rPr>
          <w:lang w:val="fr-FR"/>
        </w:rPr>
      </w:pPr>
      <w:r w:rsidRPr="00357DC2">
        <w:rPr>
          <w:lang w:val="fr-FR"/>
        </w:rPr>
        <w:t>« </w:t>
      </w:r>
      <w:r w:rsidR="00C05BB1" w:rsidRPr="00357DC2">
        <w:rPr>
          <w:i/>
          <w:lang w:val="fr-FR"/>
        </w:rPr>
        <w:t>Circonstances aggravantes</w:t>
      </w:r>
      <w:r w:rsidRPr="00357DC2">
        <w:rPr>
          <w:lang w:val="fr-FR"/>
        </w:rPr>
        <w:t>. La peine est augmentée si l</w:t>
      </w:r>
      <w:r w:rsidR="00357DC2" w:rsidRPr="00357DC2">
        <w:rPr>
          <w:lang w:val="fr-FR"/>
        </w:rPr>
        <w:t>’</w:t>
      </w:r>
      <w:r w:rsidRPr="00357DC2">
        <w:rPr>
          <w:lang w:val="fr-FR"/>
        </w:rPr>
        <w:t>infraction prévue par l</w:t>
      </w:r>
      <w:r w:rsidR="00357DC2" w:rsidRPr="00357DC2">
        <w:rPr>
          <w:lang w:val="fr-FR"/>
        </w:rPr>
        <w:t>’</w:t>
      </w:r>
      <w:r w:rsidRPr="00357DC2">
        <w:rPr>
          <w:lang w:val="fr-FR"/>
        </w:rPr>
        <w:t>article 319 concerne l</w:t>
      </w:r>
      <w:r w:rsidR="00357DC2" w:rsidRPr="00357DC2">
        <w:rPr>
          <w:lang w:val="fr-FR"/>
        </w:rPr>
        <w:t>’</w:t>
      </w:r>
      <w:r w:rsidRPr="00357DC2">
        <w:rPr>
          <w:lang w:val="fr-FR"/>
        </w:rPr>
        <w:t>attribution d</w:t>
      </w:r>
      <w:r w:rsidR="00357DC2" w:rsidRPr="00357DC2">
        <w:rPr>
          <w:lang w:val="fr-FR"/>
        </w:rPr>
        <w:t>’</w:t>
      </w:r>
      <w:r w:rsidRPr="00357DC2">
        <w:rPr>
          <w:lang w:val="fr-FR"/>
        </w:rPr>
        <w:t>emplois publics, de pensions ou de salaires ou la conclusion de contrats avec l</w:t>
      </w:r>
      <w:r w:rsidR="00357DC2" w:rsidRPr="00357DC2">
        <w:rPr>
          <w:lang w:val="fr-FR"/>
        </w:rPr>
        <w:t>’</w:t>
      </w:r>
      <w:r w:rsidRPr="00357DC2">
        <w:rPr>
          <w:lang w:val="fr-FR"/>
        </w:rPr>
        <w:t>administration publique dont le fonctionnaire fait partie</w:t>
      </w:r>
      <w:r w:rsidR="00BA3113" w:rsidRPr="00357DC2">
        <w:rPr>
          <w:lang w:val="fr-FR"/>
        </w:rPr>
        <w:t>.</w:t>
      </w:r>
      <w:r w:rsidRPr="00357DC2">
        <w:rPr>
          <w:lang w:val="fr-FR"/>
        </w:rPr>
        <w:t> »</w:t>
      </w:r>
    </w:p>
    <w:p w:rsidR="00520396" w:rsidRPr="00357DC2" w:rsidRDefault="00520396" w:rsidP="00357DC2">
      <w:pPr>
        <w:pStyle w:val="ECHRPara"/>
        <w:rPr>
          <w:lang w:val="fr-FR"/>
        </w:rPr>
      </w:pPr>
      <w:r w:rsidRPr="00357DC2">
        <w:rPr>
          <w:lang w:val="fr-FR"/>
        </w:rPr>
        <w:t>L</w:t>
      </w:r>
      <w:r w:rsidR="00357DC2" w:rsidRPr="00357DC2">
        <w:rPr>
          <w:lang w:val="fr-FR"/>
        </w:rPr>
        <w:t>’</w:t>
      </w:r>
      <w:r w:rsidRPr="00357DC2">
        <w:rPr>
          <w:lang w:val="fr-FR"/>
        </w:rPr>
        <w:t>article 319</w:t>
      </w:r>
      <w:r w:rsidR="00277D89" w:rsidRPr="00357DC2">
        <w:rPr>
          <w:lang w:val="fr-FR"/>
        </w:rPr>
        <w:t xml:space="preserve"> </w:t>
      </w:r>
      <w:r w:rsidRPr="00357DC2">
        <w:rPr>
          <w:i/>
          <w:lang w:val="fr-FR"/>
        </w:rPr>
        <w:t>ter</w:t>
      </w:r>
      <w:r w:rsidRPr="00357DC2">
        <w:rPr>
          <w:lang w:val="fr-FR"/>
        </w:rPr>
        <w:t xml:space="preserve"> du </w:t>
      </w:r>
      <w:r w:rsidR="00277D89" w:rsidRPr="00357DC2">
        <w:rPr>
          <w:lang w:val="fr-FR"/>
        </w:rPr>
        <w:t>CP</w:t>
      </w:r>
      <w:r w:rsidRPr="00357DC2">
        <w:rPr>
          <w:lang w:val="fr-FR"/>
        </w:rPr>
        <w:t xml:space="preserve"> dispose :</w:t>
      </w:r>
    </w:p>
    <w:p w:rsidR="00520396" w:rsidRPr="00357DC2" w:rsidRDefault="00520396" w:rsidP="00357DC2">
      <w:pPr>
        <w:pStyle w:val="ECHRParaQuote"/>
        <w:rPr>
          <w:lang w:val="fr-FR"/>
        </w:rPr>
      </w:pPr>
      <w:r w:rsidRPr="00357DC2">
        <w:rPr>
          <w:lang w:val="fr-FR"/>
        </w:rPr>
        <w:t>« </w:t>
      </w:r>
      <w:r w:rsidR="00C05BB1" w:rsidRPr="00357DC2">
        <w:rPr>
          <w:i/>
          <w:lang w:val="fr-FR"/>
        </w:rPr>
        <w:t xml:space="preserve">Corruption </w:t>
      </w:r>
      <w:r w:rsidR="002176A9" w:rsidRPr="00357DC2">
        <w:rPr>
          <w:i/>
          <w:lang w:val="fr-FR"/>
        </w:rPr>
        <w:t xml:space="preserve">dans des actes </w:t>
      </w:r>
      <w:r w:rsidR="00C05BB1" w:rsidRPr="00357DC2">
        <w:rPr>
          <w:i/>
          <w:lang w:val="fr-FR"/>
        </w:rPr>
        <w:t>judiciaire</w:t>
      </w:r>
      <w:r w:rsidR="002176A9" w:rsidRPr="00357DC2">
        <w:rPr>
          <w:i/>
          <w:lang w:val="fr-FR"/>
        </w:rPr>
        <w:t>s</w:t>
      </w:r>
      <w:r w:rsidRPr="00357DC2">
        <w:rPr>
          <w:i/>
          <w:lang w:val="fr-FR"/>
        </w:rPr>
        <w:t xml:space="preserve">. </w:t>
      </w:r>
      <w:r w:rsidRPr="00357DC2">
        <w:rPr>
          <w:lang w:val="fr-FR"/>
        </w:rPr>
        <w:t>Si les faits prévus par l</w:t>
      </w:r>
      <w:r w:rsidR="00357DC2" w:rsidRPr="00357DC2">
        <w:rPr>
          <w:lang w:val="fr-FR"/>
        </w:rPr>
        <w:t>’</w:t>
      </w:r>
      <w:r w:rsidRPr="00357DC2">
        <w:rPr>
          <w:lang w:val="fr-FR"/>
        </w:rPr>
        <w:t xml:space="preserve">article (...) 319 sont commis </w:t>
      </w:r>
      <w:r w:rsidR="00BA3113" w:rsidRPr="00357DC2">
        <w:rPr>
          <w:lang w:val="fr-FR"/>
        </w:rPr>
        <w:t xml:space="preserve">dans le but </w:t>
      </w:r>
      <w:r w:rsidRPr="00357DC2">
        <w:rPr>
          <w:lang w:val="fr-FR"/>
        </w:rPr>
        <w:t>de favoriser l</w:t>
      </w:r>
      <w:r w:rsidR="00357DC2" w:rsidRPr="00357DC2">
        <w:rPr>
          <w:lang w:val="fr-FR"/>
        </w:rPr>
        <w:t>’</w:t>
      </w:r>
      <w:r w:rsidRPr="00357DC2">
        <w:rPr>
          <w:lang w:val="fr-FR"/>
        </w:rPr>
        <w:t>une des parties d</w:t>
      </w:r>
      <w:r w:rsidR="00357DC2" w:rsidRPr="00357DC2">
        <w:rPr>
          <w:lang w:val="fr-FR"/>
        </w:rPr>
        <w:t>’</w:t>
      </w:r>
      <w:r w:rsidRPr="00357DC2">
        <w:rPr>
          <w:lang w:val="fr-FR"/>
        </w:rPr>
        <w:t>un procès civil, pénal ou administratif</w:t>
      </w:r>
      <w:r w:rsidR="00C95F81" w:rsidRPr="00357DC2">
        <w:rPr>
          <w:lang w:val="fr-FR"/>
        </w:rPr>
        <w:t xml:space="preserve"> ou de lui nuire</w:t>
      </w:r>
      <w:r w:rsidRPr="00357DC2">
        <w:rPr>
          <w:lang w:val="fr-FR"/>
        </w:rPr>
        <w:t>, l</w:t>
      </w:r>
      <w:r w:rsidR="00357DC2" w:rsidRPr="00357DC2">
        <w:rPr>
          <w:lang w:val="fr-FR"/>
        </w:rPr>
        <w:t>’</w:t>
      </w:r>
      <w:r w:rsidRPr="00357DC2">
        <w:rPr>
          <w:lang w:val="fr-FR"/>
        </w:rPr>
        <w:t>infraction est punie d</w:t>
      </w:r>
      <w:r w:rsidR="00357DC2" w:rsidRPr="00357DC2">
        <w:rPr>
          <w:lang w:val="fr-FR"/>
        </w:rPr>
        <w:t>’</w:t>
      </w:r>
      <w:r w:rsidRPr="00357DC2">
        <w:rPr>
          <w:lang w:val="fr-FR"/>
        </w:rPr>
        <w:t>une peine de trois à huit ans d</w:t>
      </w:r>
      <w:r w:rsidR="00357DC2" w:rsidRPr="00357DC2">
        <w:rPr>
          <w:lang w:val="fr-FR"/>
        </w:rPr>
        <w:t>’</w:t>
      </w:r>
      <w:r w:rsidRPr="00357DC2">
        <w:rPr>
          <w:lang w:val="fr-FR"/>
        </w:rPr>
        <w:t>emprisonnement.</w:t>
      </w:r>
    </w:p>
    <w:p w:rsidR="00520396" w:rsidRPr="00357DC2" w:rsidRDefault="00520396" w:rsidP="00357DC2">
      <w:pPr>
        <w:pStyle w:val="ECHRParaQuote"/>
        <w:rPr>
          <w:lang w:val="fr-FR"/>
        </w:rPr>
      </w:pPr>
      <w:r w:rsidRPr="00357DC2">
        <w:rPr>
          <w:lang w:val="fr-FR"/>
        </w:rPr>
        <w:t>(...) si de l</w:t>
      </w:r>
      <w:r w:rsidR="00357DC2" w:rsidRPr="00357DC2">
        <w:rPr>
          <w:lang w:val="fr-FR"/>
        </w:rPr>
        <w:t>’</w:t>
      </w:r>
      <w:r w:rsidRPr="00357DC2">
        <w:rPr>
          <w:lang w:val="fr-FR"/>
        </w:rPr>
        <w:t>infraction découle l</w:t>
      </w:r>
      <w:r w:rsidR="00BA3113" w:rsidRPr="00357DC2">
        <w:rPr>
          <w:lang w:val="fr-FR"/>
        </w:rPr>
        <w:t>a</w:t>
      </w:r>
      <w:r w:rsidRPr="00357DC2">
        <w:rPr>
          <w:lang w:val="fr-FR"/>
        </w:rPr>
        <w:t xml:space="preserve"> condamnation </w:t>
      </w:r>
      <w:r w:rsidR="00BA3113" w:rsidRPr="00357DC2">
        <w:rPr>
          <w:lang w:val="fr-FR"/>
        </w:rPr>
        <w:t xml:space="preserve">injuste </w:t>
      </w:r>
      <w:r w:rsidRPr="00357DC2">
        <w:rPr>
          <w:lang w:val="fr-FR"/>
        </w:rPr>
        <w:t>d</w:t>
      </w:r>
      <w:r w:rsidR="00357DC2" w:rsidRPr="00357DC2">
        <w:rPr>
          <w:lang w:val="fr-FR"/>
        </w:rPr>
        <w:t>’</w:t>
      </w:r>
      <w:r w:rsidRPr="00357DC2">
        <w:rPr>
          <w:lang w:val="fr-FR"/>
        </w:rPr>
        <w:t>un tiers à une peine de réclusion supérieure à cinq ans ou à la perpétuité, le délit est puni d</w:t>
      </w:r>
      <w:r w:rsidR="00357DC2" w:rsidRPr="00357DC2">
        <w:rPr>
          <w:lang w:val="fr-FR"/>
        </w:rPr>
        <w:t>’</w:t>
      </w:r>
      <w:r w:rsidRPr="00357DC2">
        <w:rPr>
          <w:lang w:val="fr-FR"/>
        </w:rPr>
        <w:t xml:space="preserve">une peine de six </w:t>
      </w:r>
      <w:r w:rsidR="00277D89" w:rsidRPr="00357DC2">
        <w:rPr>
          <w:lang w:val="fr-FR"/>
        </w:rPr>
        <w:t xml:space="preserve">ans </w:t>
      </w:r>
      <w:r w:rsidRPr="00357DC2">
        <w:rPr>
          <w:lang w:val="fr-FR"/>
        </w:rPr>
        <w:t>à vingt ans de réclusion</w:t>
      </w:r>
      <w:r w:rsidR="00BA3113" w:rsidRPr="00357DC2">
        <w:rPr>
          <w:lang w:val="fr-FR"/>
        </w:rPr>
        <w:t>. </w:t>
      </w:r>
      <w:r w:rsidRPr="00357DC2">
        <w:rPr>
          <w:lang w:val="fr-FR"/>
        </w:rPr>
        <w:t>»</w:t>
      </w:r>
    </w:p>
    <w:p w:rsidR="00520396" w:rsidRPr="00357DC2" w:rsidRDefault="007B7FCF" w:rsidP="00357DC2">
      <w:pPr>
        <w:pStyle w:val="ECHRHeading2"/>
        <w:rPr>
          <w:lang w:val="fr-FR"/>
        </w:rPr>
      </w:pPr>
      <w:r w:rsidRPr="00357DC2">
        <w:rPr>
          <w:lang w:val="fr-FR"/>
        </w:rPr>
        <w:t>B</w:t>
      </w:r>
      <w:r w:rsidR="00520396" w:rsidRPr="00357DC2">
        <w:rPr>
          <w:lang w:val="fr-FR"/>
        </w:rPr>
        <w:t>.  Le code de procédure pénale</w:t>
      </w:r>
    </w:p>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33</w:t>
      </w:r>
      <w:r w:rsidRPr="00357DC2">
        <w:rPr>
          <w:lang w:val="fr-FR"/>
        </w:rPr>
        <w:fldChar w:fldCharType="end"/>
      </w:r>
      <w:r w:rsidRPr="00357DC2">
        <w:rPr>
          <w:lang w:val="fr-FR"/>
        </w:rPr>
        <w:t>.  </w:t>
      </w:r>
      <w:r w:rsidR="00BA3113" w:rsidRPr="00357DC2">
        <w:rPr>
          <w:lang w:val="fr-FR"/>
        </w:rPr>
        <w:t>L</w:t>
      </w:r>
      <w:r w:rsidR="00357DC2" w:rsidRPr="00357DC2">
        <w:rPr>
          <w:lang w:val="fr-FR"/>
        </w:rPr>
        <w:t>’</w:t>
      </w:r>
      <w:r w:rsidRPr="00357DC2">
        <w:rPr>
          <w:lang w:val="fr-FR"/>
        </w:rPr>
        <w:t xml:space="preserve">article 521 §§ 1 et 2 du </w:t>
      </w:r>
      <w:r w:rsidR="0075612F" w:rsidRPr="00357DC2">
        <w:rPr>
          <w:lang w:val="fr-FR"/>
        </w:rPr>
        <w:t>CPP</w:t>
      </w:r>
      <w:r w:rsidR="00BA3113" w:rsidRPr="00357DC2">
        <w:rPr>
          <w:lang w:val="fr-FR"/>
        </w:rPr>
        <w:t xml:space="preserve"> dispose</w:t>
      </w:r>
      <w:r w:rsidRPr="00357DC2">
        <w:rPr>
          <w:lang w:val="fr-FR"/>
        </w:rPr>
        <w:t> :</w:t>
      </w:r>
    </w:p>
    <w:p w:rsidR="00520396" w:rsidRPr="00357DC2" w:rsidRDefault="00520396" w:rsidP="00357DC2">
      <w:pPr>
        <w:pStyle w:val="ECHRParaQuote"/>
        <w:rPr>
          <w:lang w:val="fr-FR"/>
        </w:rPr>
      </w:pPr>
      <w:r w:rsidRPr="00357DC2">
        <w:rPr>
          <w:lang w:val="fr-FR"/>
        </w:rPr>
        <w:t xml:space="preserve">« 1.  Dans </w:t>
      </w:r>
      <w:r w:rsidR="00277D89" w:rsidRPr="00357DC2">
        <w:rPr>
          <w:lang w:val="fr-FR"/>
        </w:rPr>
        <w:t>son</w:t>
      </w:r>
      <w:r w:rsidRPr="00357DC2">
        <w:rPr>
          <w:lang w:val="fr-FR"/>
        </w:rPr>
        <w:t xml:space="preserve"> jugement, le juge peut donner aux faits une qualification juridique différente </w:t>
      </w:r>
      <w:r w:rsidR="00277D89" w:rsidRPr="00357DC2">
        <w:rPr>
          <w:lang w:val="fr-FR"/>
        </w:rPr>
        <w:t>de</w:t>
      </w:r>
      <w:r w:rsidRPr="00357DC2">
        <w:rPr>
          <w:lang w:val="fr-FR"/>
        </w:rPr>
        <w:t xml:space="preserve"> celle qui a été retenue dans le chef d</w:t>
      </w:r>
      <w:r w:rsidR="00357DC2" w:rsidRPr="00357DC2">
        <w:rPr>
          <w:lang w:val="fr-FR"/>
        </w:rPr>
        <w:t>’</w:t>
      </w:r>
      <w:r w:rsidRPr="00357DC2">
        <w:rPr>
          <w:lang w:val="fr-FR"/>
        </w:rPr>
        <w:t>accusation à condition que l</w:t>
      </w:r>
      <w:r w:rsidR="00357DC2" w:rsidRPr="00357DC2">
        <w:rPr>
          <w:lang w:val="fr-FR"/>
        </w:rPr>
        <w:t>’</w:t>
      </w:r>
      <w:r w:rsidRPr="00357DC2">
        <w:rPr>
          <w:lang w:val="fr-FR"/>
        </w:rPr>
        <w:t xml:space="preserve">infraction </w:t>
      </w:r>
      <w:r w:rsidR="00D70E54" w:rsidRPr="00357DC2">
        <w:rPr>
          <w:lang w:val="fr-FR"/>
        </w:rPr>
        <w:t>relève</w:t>
      </w:r>
      <w:r w:rsidR="00277D89" w:rsidRPr="00357DC2">
        <w:rPr>
          <w:lang w:val="fr-FR"/>
        </w:rPr>
        <w:t xml:space="preserve"> de son champ de</w:t>
      </w:r>
      <w:r w:rsidRPr="00357DC2">
        <w:rPr>
          <w:lang w:val="fr-FR"/>
        </w:rPr>
        <w:t xml:space="preserve"> compétence.</w:t>
      </w:r>
    </w:p>
    <w:p w:rsidR="00520396" w:rsidRPr="00357DC2" w:rsidRDefault="00520396" w:rsidP="00357DC2">
      <w:pPr>
        <w:pStyle w:val="ECHRParaQuote"/>
        <w:rPr>
          <w:lang w:val="fr-FR"/>
        </w:rPr>
      </w:pPr>
      <w:r w:rsidRPr="00357DC2">
        <w:rPr>
          <w:lang w:val="fr-FR"/>
        </w:rPr>
        <w:t>2.  Le juge ordonne (...) la transmission du dossier au parquet s</w:t>
      </w:r>
      <w:r w:rsidR="00357DC2" w:rsidRPr="00357DC2">
        <w:rPr>
          <w:lang w:val="fr-FR"/>
        </w:rPr>
        <w:t>’</w:t>
      </w:r>
      <w:r w:rsidRPr="00357DC2">
        <w:rPr>
          <w:lang w:val="fr-FR"/>
        </w:rPr>
        <w:t>il s</w:t>
      </w:r>
      <w:r w:rsidR="00357DC2" w:rsidRPr="00357DC2">
        <w:rPr>
          <w:lang w:val="fr-FR"/>
        </w:rPr>
        <w:t>’</w:t>
      </w:r>
      <w:r w:rsidRPr="00357DC2">
        <w:rPr>
          <w:lang w:val="fr-FR"/>
        </w:rPr>
        <w:t xml:space="preserve">aperçoit que le fait est différent </w:t>
      </w:r>
      <w:r w:rsidR="00AB410D" w:rsidRPr="00357DC2">
        <w:rPr>
          <w:lang w:val="fr-FR"/>
        </w:rPr>
        <w:t>de</w:t>
      </w:r>
      <w:r w:rsidRPr="00357DC2">
        <w:rPr>
          <w:lang w:val="fr-FR"/>
        </w:rPr>
        <w:t xml:space="preserve"> celui qui a été décrit dans l</w:t>
      </w:r>
      <w:r w:rsidR="00357DC2" w:rsidRPr="00357DC2">
        <w:rPr>
          <w:lang w:val="fr-FR"/>
        </w:rPr>
        <w:t>’</w:t>
      </w:r>
      <w:r w:rsidRPr="00357DC2">
        <w:rPr>
          <w:lang w:val="fr-FR"/>
        </w:rPr>
        <w:t>ordonnance de renvoi en jugement (...) »</w:t>
      </w:r>
    </w:p>
    <w:p w:rsidR="00520396" w:rsidRPr="00357DC2" w:rsidRDefault="00520396" w:rsidP="00357DC2">
      <w:pPr>
        <w:pStyle w:val="ECHRPara"/>
        <w:rPr>
          <w:lang w:val="fr-FR"/>
        </w:rPr>
      </w:pPr>
      <w:r w:rsidRPr="00357DC2">
        <w:rPr>
          <w:lang w:val="fr-FR"/>
        </w:rPr>
        <w:t>L</w:t>
      </w:r>
      <w:r w:rsidR="00357DC2" w:rsidRPr="00357DC2">
        <w:rPr>
          <w:lang w:val="fr-FR"/>
        </w:rPr>
        <w:t>’</w:t>
      </w:r>
      <w:r w:rsidRPr="00357DC2">
        <w:rPr>
          <w:lang w:val="fr-FR"/>
        </w:rPr>
        <w:t xml:space="preserve">article 522 § 1 du </w:t>
      </w:r>
      <w:r w:rsidR="0075612F" w:rsidRPr="00357DC2">
        <w:rPr>
          <w:lang w:val="fr-FR"/>
        </w:rPr>
        <w:t>CPP</w:t>
      </w:r>
      <w:r w:rsidRPr="00357DC2">
        <w:rPr>
          <w:lang w:val="fr-FR"/>
        </w:rPr>
        <w:t xml:space="preserve"> </w:t>
      </w:r>
      <w:r w:rsidR="00AB410D" w:rsidRPr="00357DC2">
        <w:rPr>
          <w:lang w:val="fr-FR"/>
        </w:rPr>
        <w:t>se lit comme suit</w:t>
      </w:r>
      <w:r w:rsidRPr="00357DC2">
        <w:rPr>
          <w:lang w:val="fr-FR"/>
        </w:rPr>
        <w:t> :</w:t>
      </w:r>
    </w:p>
    <w:p w:rsidR="00D21461" w:rsidRPr="00357DC2" w:rsidRDefault="00520396" w:rsidP="00357DC2">
      <w:pPr>
        <w:pStyle w:val="ECHRParaQuote"/>
        <w:rPr>
          <w:lang w:val="fr-FR"/>
        </w:rPr>
      </w:pPr>
      <w:r w:rsidRPr="00357DC2">
        <w:rPr>
          <w:lang w:val="fr-FR"/>
        </w:rPr>
        <w:t>« Le non-respect des dispositions prévues dans la présente section est un motif de nullité</w:t>
      </w:r>
      <w:r w:rsidR="00730701" w:rsidRPr="00357DC2">
        <w:rPr>
          <w:lang w:val="fr-FR"/>
        </w:rPr>
        <w:t>.</w:t>
      </w:r>
      <w:r w:rsidRPr="00357DC2">
        <w:rPr>
          <w:lang w:val="fr-FR"/>
        </w:rPr>
        <w:t> »</w:t>
      </w:r>
    </w:p>
    <w:p w:rsidR="00520396" w:rsidRPr="00357DC2" w:rsidRDefault="007B7FCF" w:rsidP="00357DC2">
      <w:pPr>
        <w:pStyle w:val="ECHRHeading2"/>
        <w:rPr>
          <w:lang w:val="fr-FR"/>
        </w:rPr>
      </w:pPr>
      <w:r w:rsidRPr="00357DC2">
        <w:rPr>
          <w:lang w:val="fr-FR"/>
        </w:rPr>
        <w:lastRenderedPageBreak/>
        <w:t>C</w:t>
      </w:r>
      <w:r w:rsidR="00520396" w:rsidRPr="00357DC2">
        <w:rPr>
          <w:lang w:val="fr-FR"/>
        </w:rPr>
        <w:t>.  La jurisprudence de la Cour de cassation</w:t>
      </w:r>
    </w:p>
    <w:p w:rsidR="00520396" w:rsidRPr="00357DC2" w:rsidRDefault="00520396" w:rsidP="00357DC2">
      <w:pPr>
        <w:pStyle w:val="ECHRPara"/>
        <w:keepNext/>
        <w:keepLines/>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34</w:t>
      </w:r>
      <w:r w:rsidRPr="00357DC2">
        <w:rPr>
          <w:lang w:val="fr-FR"/>
        </w:rPr>
        <w:fldChar w:fldCharType="end"/>
      </w:r>
      <w:r w:rsidRPr="00357DC2">
        <w:rPr>
          <w:lang w:val="fr-FR"/>
        </w:rPr>
        <w:t>.  Dans son arrêt n</w:t>
      </w:r>
      <w:r w:rsidRPr="00357DC2">
        <w:rPr>
          <w:vertAlign w:val="superscript"/>
          <w:lang w:val="fr-FR"/>
        </w:rPr>
        <w:t>o</w:t>
      </w:r>
      <w:r w:rsidRPr="00357DC2">
        <w:rPr>
          <w:lang w:val="fr-FR"/>
        </w:rPr>
        <w:t xml:space="preserve"> 45275 du 16 novembre 2001, la Cour de cassation </w:t>
      </w:r>
      <w:r w:rsidR="00730701" w:rsidRPr="00357DC2">
        <w:rPr>
          <w:lang w:val="fr-FR"/>
        </w:rPr>
        <w:t xml:space="preserve">a indiqué </w:t>
      </w:r>
      <w:r w:rsidR="00D70E54" w:rsidRPr="00357DC2">
        <w:rPr>
          <w:lang w:val="fr-FR"/>
        </w:rPr>
        <w:t>ce qui suit</w:t>
      </w:r>
      <w:r w:rsidRPr="00357DC2">
        <w:rPr>
          <w:lang w:val="fr-FR"/>
        </w:rPr>
        <w:t> :</w:t>
      </w:r>
    </w:p>
    <w:p w:rsidR="00520396" w:rsidRPr="00357DC2" w:rsidRDefault="00520396" w:rsidP="00357DC2">
      <w:pPr>
        <w:pStyle w:val="ECHRParaQuote"/>
        <w:keepNext/>
        <w:keepLines/>
        <w:rPr>
          <w:lang w:val="fr-FR"/>
        </w:rPr>
      </w:pPr>
      <w:r w:rsidRPr="00357DC2">
        <w:rPr>
          <w:lang w:val="fr-FR"/>
        </w:rPr>
        <w:t>« Le délit de corruption dans des actes judiciaires, prévu à l</w:t>
      </w:r>
      <w:r w:rsidR="00357DC2" w:rsidRPr="00357DC2">
        <w:rPr>
          <w:lang w:val="fr-FR"/>
        </w:rPr>
        <w:t>’</w:t>
      </w:r>
      <w:r w:rsidRPr="00357DC2">
        <w:rPr>
          <w:lang w:val="fr-FR"/>
        </w:rPr>
        <w:t>article 319</w:t>
      </w:r>
      <w:r w:rsidR="00D70E54" w:rsidRPr="00357DC2">
        <w:rPr>
          <w:lang w:val="fr-FR"/>
        </w:rPr>
        <w:t xml:space="preserve"> </w:t>
      </w:r>
      <w:r w:rsidRPr="00357DC2">
        <w:rPr>
          <w:i/>
          <w:lang w:val="fr-FR"/>
        </w:rPr>
        <w:t>ter</w:t>
      </w:r>
      <w:r w:rsidRPr="00357DC2">
        <w:rPr>
          <w:lang w:val="fr-FR"/>
        </w:rPr>
        <w:t xml:space="preserve"> </w:t>
      </w:r>
      <w:r w:rsidR="00730701" w:rsidRPr="00357DC2">
        <w:rPr>
          <w:lang w:val="fr-FR"/>
        </w:rPr>
        <w:t xml:space="preserve">[du CP], </w:t>
      </w:r>
      <w:r w:rsidRPr="00357DC2">
        <w:rPr>
          <w:lang w:val="fr-FR"/>
        </w:rPr>
        <w:t xml:space="preserve">représente une infraction autonome et non pas une circonstance aggravante des délits de corruption prévus </w:t>
      </w:r>
      <w:r w:rsidR="00D70E54" w:rsidRPr="00357DC2">
        <w:rPr>
          <w:lang w:val="fr-FR"/>
        </w:rPr>
        <w:t>aux</w:t>
      </w:r>
      <w:r w:rsidRPr="00357DC2">
        <w:rPr>
          <w:lang w:val="fr-FR"/>
        </w:rPr>
        <w:t xml:space="preserve"> articles 318 et 319 </w:t>
      </w:r>
      <w:r w:rsidR="00D70E54" w:rsidRPr="00357DC2">
        <w:rPr>
          <w:lang w:val="fr-FR"/>
        </w:rPr>
        <w:t>[</w:t>
      </w:r>
      <w:r w:rsidRPr="00357DC2">
        <w:rPr>
          <w:lang w:val="fr-FR"/>
        </w:rPr>
        <w:t xml:space="preserve">du </w:t>
      </w:r>
      <w:r w:rsidR="00730701" w:rsidRPr="00357DC2">
        <w:rPr>
          <w:lang w:val="fr-FR"/>
        </w:rPr>
        <w:t>CP]</w:t>
      </w:r>
      <w:r w:rsidRPr="00357DC2">
        <w:rPr>
          <w:lang w:val="fr-FR"/>
        </w:rPr>
        <w:t xml:space="preserve">. En effet, outre le </w:t>
      </w:r>
      <w:r w:rsidRPr="00357DC2">
        <w:rPr>
          <w:i/>
          <w:lang w:val="fr-FR"/>
        </w:rPr>
        <w:t>nomen juris</w:t>
      </w:r>
      <w:r w:rsidRPr="00357DC2">
        <w:rPr>
          <w:lang w:val="fr-FR"/>
        </w:rPr>
        <w:t xml:space="preserve"> </w:t>
      </w:r>
      <w:r w:rsidR="00D70E54" w:rsidRPr="00357DC2">
        <w:rPr>
          <w:lang w:val="fr-FR"/>
        </w:rPr>
        <w:t xml:space="preserve">différent </w:t>
      </w:r>
      <w:r w:rsidRPr="00357DC2">
        <w:rPr>
          <w:lang w:val="fr-FR"/>
        </w:rPr>
        <w:t>du délit et le fait que le second paragraphe de l</w:t>
      </w:r>
      <w:r w:rsidR="00357DC2" w:rsidRPr="00357DC2">
        <w:rPr>
          <w:lang w:val="fr-FR"/>
        </w:rPr>
        <w:t>’</w:t>
      </w:r>
      <w:r w:rsidRPr="00357DC2">
        <w:rPr>
          <w:lang w:val="fr-FR"/>
        </w:rPr>
        <w:t>article prévoi</w:t>
      </w:r>
      <w:r w:rsidR="00D70E54" w:rsidRPr="00357DC2">
        <w:rPr>
          <w:lang w:val="fr-FR"/>
        </w:rPr>
        <w:t>t</w:t>
      </w:r>
      <w:r w:rsidRPr="00357DC2">
        <w:rPr>
          <w:lang w:val="fr-FR"/>
        </w:rPr>
        <w:t xml:space="preserve"> des circonstances aggravantes, cette infraction comporte l</w:t>
      </w:r>
      <w:r w:rsidR="00357DC2" w:rsidRPr="00357DC2">
        <w:rPr>
          <w:lang w:val="fr-FR"/>
        </w:rPr>
        <w:t>’</w:t>
      </w:r>
      <w:r w:rsidRPr="00357DC2">
        <w:rPr>
          <w:lang w:val="fr-FR"/>
        </w:rPr>
        <w:t>élément intentionnel spécifique de favoriser une partie du procès</w:t>
      </w:r>
      <w:r w:rsidR="00D52320" w:rsidRPr="00357DC2">
        <w:rPr>
          <w:lang w:val="fr-FR"/>
        </w:rPr>
        <w:t xml:space="preserve"> ou de nuire à celle-ci</w:t>
      </w:r>
      <w:r w:rsidR="00730701" w:rsidRPr="00357DC2">
        <w:rPr>
          <w:lang w:val="fr-FR"/>
        </w:rPr>
        <w:t>.</w:t>
      </w:r>
      <w:r w:rsidRPr="00357DC2">
        <w:rPr>
          <w:lang w:val="fr-FR"/>
        </w:rPr>
        <w:t> »</w:t>
      </w:r>
    </w:p>
    <w:p w:rsidR="00520396" w:rsidRPr="00357DC2" w:rsidRDefault="007B7FCF" w:rsidP="00357DC2">
      <w:pPr>
        <w:pStyle w:val="ECHRHeading2"/>
        <w:rPr>
          <w:lang w:val="fr-FR"/>
        </w:rPr>
      </w:pPr>
      <w:r w:rsidRPr="00357DC2">
        <w:rPr>
          <w:lang w:val="fr-FR"/>
        </w:rPr>
        <w:t>D</w:t>
      </w:r>
      <w:r w:rsidR="00520396" w:rsidRPr="00357DC2">
        <w:rPr>
          <w:lang w:val="fr-FR"/>
        </w:rPr>
        <w:t>.  La révision du procès</w:t>
      </w:r>
    </w:p>
    <w:bookmarkStart w:id="4" w:name="cpp630"/>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35</w:t>
      </w:r>
      <w:r w:rsidRPr="00357DC2">
        <w:rPr>
          <w:lang w:val="fr-FR"/>
        </w:rPr>
        <w:fldChar w:fldCharType="end"/>
      </w:r>
      <w:bookmarkEnd w:id="4"/>
      <w:r w:rsidRPr="00357DC2">
        <w:rPr>
          <w:lang w:val="fr-FR"/>
        </w:rPr>
        <w:t>.  L</w:t>
      </w:r>
      <w:r w:rsidR="00357DC2" w:rsidRPr="00357DC2">
        <w:rPr>
          <w:lang w:val="fr-FR"/>
        </w:rPr>
        <w:t>’</w:t>
      </w:r>
      <w:r w:rsidRPr="00357DC2">
        <w:rPr>
          <w:lang w:val="fr-FR"/>
        </w:rPr>
        <w:t xml:space="preserve">article 630 du </w:t>
      </w:r>
      <w:r w:rsidR="00730701" w:rsidRPr="00357DC2">
        <w:rPr>
          <w:lang w:val="fr-FR"/>
        </w:rPr>
        <w:t>CPP</w:t>
      </w:r>
      <w:r w:rsidRPr="00357DC2">
        <w:rPr>
          <w:lang w:val="fr-FR"/>
        </w:rPr>
        <w:t xml:space="preserve"> prévoit les cas dans lesquels une personne condamnée peut demander la révision du procès. À l</w:t>
      </w:r>
      <w:r w:rsidR="00357DC2" w:rsidRPr="00357DC2">
        <w:rPr>
          <w:lang w:val="fr-FR"/>
        </w:rPr>
        <w:t>’</w:t>
      </w:r>
      <w:r w:rsidRPr="00357DC2">
        <w:rPr>
          <w:lang w:val="fr-FR"/>
        </w:rPr>
        <w:t xml:space="preserve">époque </w:t>
      </w:r>
      <w:r w:rsidR="003271A6" w:rsidRPr="00357DC2">
        <w:rPr>
          <w:lang w:val="fr-FR"/>
        </w:rPr>
        <w:t>de l</w:t>
      </w:r>
      <w:r w:rsidR="00357DC2" w:rsidRPr="00357DC2">
        <w:rPr>
          <w:lang w:val="fr-FR"/>
        </w:rPr>
        <w:t>’</w:t>
      </w:r>
      <w:r w:rsidR="003271A6" w:rsidRPr="00357DC2">
        <w:rPr>
          <w:lang w:val="fr-FR"/>
        </w:rPr>
        <w:t>arrêt rendu par la Cour dans la requête n</w:t>
      </w:r>
      <w:r w:rsidR="007A6B24" w:rsidRPr="00357DC2">
        <w:rPr>
          <w:vertAlign w:val="superscript"/>
          <w:lang w:val="fr-FR"/>
        </w:rPr>
        <w:t>o</w:t>
      </w:r>
      <w:r w:rsidR="003271A6" w:rsidRPr="00357DC2">
        <w:rPr>
          <w:lang w:val="fr-FR"/>
        </w:rPr>
        <w:t xml:space="preserve"> 25575/04</w:t>
      </w:r>
      <w:r w:rsidRPr="00357DC2">
        <w:rPr>
          <w:lang w:val="fr-FR"/>
        </w:rPr>
        <w:t>, il n</w:t>
      </w:r>
      <w:r w:rsidR="00357DC2" w:rsidRPr="00357DC2">
        <w:rPr>
          <w:lang w:val="fr-FR"/>
        </w:rPr>
        <w:t>’</w:t>
      </w:r>
      <w:r w:rsidRPr="00357DC2">
        <w:rPr>
          <w:lang w:val="fr-FR"/>
        </w:rPr>
        <w:t>était pas possible de demander la révision du procès sur la base d</w:t>
      </w:r>
      <w:r w:rsidR="00357DC2" w:rsidRPr="00357DC2">
        <w:rPr>
          <w:lang w:val="fr-FR"/>
        </w:rPr>
        <w:t>’</w:t>
      </w:r>
      <w:r w:rsidRPr="00357DC2">
        <w:rPr>
          <w:lang w:val="fr-FR"/>
        </w:rPr>
        <w:t>un arrêt de la Cour européenne des droits de l</w:t>
      </w:r>
      <w:r w:rsidR="00357DC2" w:rsidRPr="00357DC2">
        <w:rPr>
          <w:lang w:val="fr-FR"/>
        </w:rPr>
        <w:t>’</w:t>
      </w:r>
      <w:r w:rsidRPr="00357DC2">
        <w:rPr>
          <w:lang w:val="fr-FR"/>
        </w:rPr>
        <w:t xml:space="preserve">homme ayant conclu à </w:t>
      </w:r>
      <w:r w:rsidR="00730701" w:rsidRPr="00357DC2">
        <w:rPr>
          <w:lang w:val="fr-FR"/>
        </w:rPr>
        <w:t>la</w:t>
      </w:r>
      <w:r w:rsidRPr="00357DC2">
        <w:rPr>
          <w:lang w:val="fr-FR"/>
        </w:rPr>
        <w:t xml:space="preserve"> violation de la Convention.</w:t>
      </w:r>
    </w:p>
    <w:p w:rsidR="00520396" w:rsidRPr="00357DC2" w:rsidRDefault="00520396" w:rsidP="00357DC2">
      <w:pPr>
        <w:pStyle w:val="ECHRPara"/>
        <w:rPr>
          <w:lang w:val="fr-FR"/>
        </w:rPr>
      </w:pPr>
      <w:r w:rsidRPr="00357DC2">
        <w:rPr>
          <w:lang w:val="fr-FR"/>
        </w:rPr>
        <w:t>Par l</w:t>
      </w:r>
      <w:r w:rsidR="00357DC2" w:rsidRPr="00357DC2">
        <w:rPr>
          <w:lang w:val="fr-FR"/>
        </w:rPr>
        <w:t>’</w:t>
      </w:r>
      <w:r w:rsidRPr="00357DC2">
        <w:rPr>
          <w:lang w:val="fr-FR"/>
        </w:rPr>
        <w:t>arrêt n</w:t>
      </w:r>
      <w:r w:rsidRPr="00357DC2">
        <w:rPr>
          <w:vertAlign w:val="superscript"/>
          <w:lang w:val="fr-FR"/>
        </w:rPr>
        <w:t>o</w:t>
      </w:r>
      <w:r w:rsidRPr="00357DC2">
        <w:rPr>
          <w:lang w:val="fr-FR"/>
        </w:rPr>
        <w:t xml:space="preserve"> 113 du 7 avril 2011, la Cour constitutionnelle </w:t>
      </w:r>
      <w:r w:rsidR="00730701" w:rsidRPr="00357DC2">
        <w:rPr>
          <w:lang w:val="fr-FR"/>
        </w:rPr>
        <w:t xml:space="preserve">a </w:t>
      </w:r>
      <w:r w:rsidR="00D21461" w:rsidRPr="00357DC2">
        <w:rPr>
          <w:lang w:val="fr-FR"/>
        </w:rPr>
        <w:t>déclar</w:t>
      </w:r>
      <w:r w:rsidR="00730701" w:rsidRPr="00357DC2">
        <w:rPr>
          <w:lang w:val="fr-FR"/>
        </w:rPr>
        <w:t>é</w:t>
      </w:r>
      <w:r w:rsidRPr="00357DC2">
        <w:rPr>
          <w:lang w:val="fr-FR"/>
        </w:rPr>
        <w:t xml:space="preserve"> </w:t>
      </w:r>
      <w:r w:rsidR="00D52320" w:rsidRPr="00357DC2">
        <w:rPr>
          <w:lang w:val="fr-FR"/>
        </w:rPr>
        <w:t>l</w:t>
      </w:r>
      <w:r w:rsidR="00357DC2" w:rsidRPr="00357DC2">
        <w:rPr>
          <w:lang w:val="fr-FR"/>
        </w:rPr>
        <w:t>’</w:t>
      </w:r>
      <w:r w:rsidR="00D52320" w:rsidRPr="00357DC2">
        <w:rPr>
          <w:lang w:val="fr-FR"/>
        </w:rPr>
        <w:t xml:space="preserve">article 630 du CPP </w:t>
      </w:r>
      <w:r w:rsidRPr="00357DC2">
        <w:rPr>
          <w:lang w:val="fr-FR"/>
        </w:rPr>
        <w:t xml:space="preserve">inconstitutionnel dans la mesure où </w:t>
      </w:r>
      <w:r w:rsidR="00C95F81" w:rsidRPr="00357DC2">
        <w:rPr>
          <w:lang w:val="fr-FR"/>
        </w:rPr>
        <w:t>il</w:t>
      </w:r>
      <w:r w:rsidRPr="00357DC2">
        <w:rPr>
          <w:lang w:val="fr-FR"/>
        </w:rPr>
        <w:t xml:space="preserve"> ne prévo</w:t>
      </w:r>
      <w:r w:rsidR="00730701" w:rsidRPr="00357DC2">
        <w:rPr>
          <w:lang w:val="fr-FR"/>
        </w:rPr>
        <w:t>yait</w:t>
      </w:r>
      <w:r w:rsidRPr="00357DC2">
        <w:rPr>
          <w:lang w:val="fr-FR"/>
        </w:rPr>
        <w:t xml:space="preserve"> pas la possibilité de demander la révision de la condamnation </w:t>
      </w:r>
      <w:r w:rsidR="00725CA9" w:rsidRPr="00357DC2">
        <w:rPr>
          <w:lang w:val="fr-FR"/>
        </w:rPr>
        <w:t xml:space="preserve">en vue </w:t>
      </w:r>
      <w:r w:rsidRPr="00357DC2">
        <w:rPr>
          <w:lang w:val="fr-FR"/>
        </w:rPr>
        <w:t>d</w:t>
      </w:r>
      <w:r w:rsidR="00357DC2" w:rsidRPr="00357DC2">
        <w:rPr>
          <w:lang w:val="fr-FR"/>
        </w:rPr>
        <w:t>’</w:t>
      </w:r>
      <w:r w:rsidRPr="00357DC2">
        <w:rPr>
          <w:lang w:val="fr-FR"/>
        </w:rPr>
        <w:t>obtenir la réouverture du procès lorsque ce</w:t>
      </w:r>
      <w:r w:rsidR="00730701" w:rsidRPr="00357DC2">
        <w:rPr>
          <w:lang w:val="fr-FR"/>
        </w:rPr>
        <w:t>la était</w:t>
      </w:r>
      <w:r w:rsidRPr="00357DC2">
        <w:rPr>
          <w:lang w:val="fr-FR"/>
        </w:rPr>
        <w:t xml:space="preserve"> nécessaire, aux termes de l</w:t>
      </w:r>
      <w:r w:rsidR="00357DC2" w:rsidRPr="00357DC2">
        <w:rPr>
          <w:lang w:val="fr-FR"/>
        </w:rPr>
        <w:t>’</w:t>
      </w:r>
      <w:r w:rsidR="006E48F0" w:rsidRPr="00357DC2">
        <w:rPr>
          <w:lang w:val="fr-FR"/>
        </w:rPr>
        <w:t>article </w:t>
      </w:r>
      <w:r w:rsidRPr="00357DC2">
        <w:rPr>
          <w:lang w:val="fr-FR"/>
        </w:rPr>
        <w:t xml:space="preserve">46 de la Convention, pour se </w:t>
      </w:r>
      <w:r w:rsidR="00C95F81" w:rsidRPr="00357DC2">
        <w:rPr>
          <w:lang w:val="fr-FR"/>
        </w:rPr>
        <w:t>conformer à</w:t>
      </w:r>
      <w:r w:rsidRPr="00357DC2">
        <w:rPr>
          <w:lang w:val="fr-FR"/>
        </w:rPr>
        <w:t xml:space="preserve"> un arrêt définitif de la Cour européenne des droits de l</w:t>
      </w:r>
      <w:r w:rsidR="00357DC2" w:rsidRPr="00357DC2">
        <w:rPr>
          <w:lang w:val="fr-FR"/>
        </w:rPr>
        <w:t>’</w:t>
      </w:r>
      <w:r w:rsidRPr="00357DC2">
        <w:rPr>
          <w:lang w:val="fr-FR"/>
        </w:rPr>
        <w:t>homme.</w:t>
      </w:r>
      <w:r w:rsidR="007071F9" w:rsidRPr="00357DC2">
        <w:rPr>
          <w:lang w:val="fr-FR"/>
        </w:rPr>
        <w:t xml:space="preserve"> Par l</w:t>
      </w:r>
      <w:r w:rsidR="00357DC2" w:rsidRPr="00357DC2">
        <w:rPr>
          <w:lang w:val="fr-FR"/>
        </w:rPr>
        <w:t>’</w:t>
      </w:r>
      <w:r w:rsidR="007071F9" w:rsidRPr="00357DC2">
        <w:rPr>
          <w:lang w:val="fr-FR"/>
        </w:rPr>
        <w:t>effet de cet arrêt (</w:t>
      </w:r>
      <w:r w:rsidR="007071F9" w:rsidRPr="00357DC2">
        <w:rPr>
          <w:i/>
          <w:lang w:val="fr-FR"/>
        </w:rPr>
        <w:t>effetto additivo</w:t>
      </w:r>
      <w:r w:rsidR="007071F9" w:rsidRPr="00357DC2">
        <w:rPr>
          <w:lang w:val="fr-FR"/>
        </w:rPr>
        <w:t>)</w:t>
      </w:r>
      <w:r w:rsidR="00730701" w:rsidRPr="00357DC2">
        <w:rPr>
          <w:lang w:val="fr-FR"/>
        </w:rPr>
        <w:t>,</w:t>
      </w:r>
      <w:r w:rsidR="007071F9" w:rsidRPr="00357DC2">
        <w:rPr>
          <w:lang w:val="fr-FR"/>
        </w:rPr>
        <w:t xml:space="preserve"> l</w:t>
      </w:r>
      <w:r w:rsidR="00357DC2" w:rsidRPr="00357DC2">
        <w:rPr>
          <w:lang w:val="fr-FR"/>
        </w:rPr>
        <w:t>’</w:t>
      </w:r>
      <w:r w:rsidR="007071F9" w:rsidRPr="00357DC2">
        <w:rPr>
          <w:lang w:val="fr-FR"/>
        </w:rPr>
        <w:t xml:space="preserve">article 630 du </w:t>
      </w:r>
      <w:r w:rsidR="0075612F" w:rsidRPr="00357DC2">
        <w:rPr>
          <w:lang w:val="fr-FR"/>
        </w:rPr>
        <w:t>CPP</w:t>
      </w:r>
      <w:r w:rsidR="007071F9" w:rsidRPr="00357DC2">
        <w:rPr>
          <w:lang w:val="fr-FR"/>
        </w:rPr>
        <w:t xml:space="preserve"> a été modifié</w:t>
      </w:r>
      <w:r w:rsidR="00730701" w:rsidRPr="00357DC2">
        <w:rPr>
          <w:lang w:val="fr-FR"/>
        </w:rPr>
        <w:t> :</w:t>
      </w:r>
      <w:r w:rsidR="007071F9" w:rsidRPr="00357DC2">
        <w:rPr>
          <w:lang w:val="fr-FR"/>
        </w:rPr>
        <w:t xml:space="preserve"> il est désormais possible d</w:t>
      </w:r>
      <w:r w:rsidR="00357DC2" w:rsidRPr="00357DC2">
        <w:rPr>
          <w:lang w:val="fr-FR"/>
        </w:rPr>
        <w:t>’</w:t>
      </w:r>
      <w:r w:rsidR="007071F9" w:rsidRPr="00357DC2">
        <w:rPr>
          <w:lang w:val="fr-FR"/>
        </w:rPr>
        <w:t>introduire une demande en révision du procès en s</w:t>
      </w:r>
      <w:r w:rsidR="00357DC2" w:rsidRPr="00357DC2">
        <w:rPr>
          <w:lang w:val="fr-FR"/>
        </w:rPr>
        <w:t>’</w:t>
      </w:r>
      <w:r w:rsidR="007071F9" w:rsidRPr="00357DC2">
        <w:rPr>
          <w:lang w:val="fr-FR"/>
        </w:rPr>
        <w:t xml:space="preserve">appuyant sur un arrêt de la Cour ayant </w:t>
      </w:r>
      <w:r w:rsidR="00725CA9" w:rsidRPr="00357DC2">
        <w:rPr>
          <w:lang w:val="fr-FR"/>
        </w:rPr>
        <w:t>conclu au défaut d</w:t>
      </w:r>
      <w:r w:rsidR="00357DC2" w:rsidRPr="00357DC2">
        <w:rPr>
          <w:lang w:val="fr-FR"/>
        </w:rPr>
        <w:t>’</w:t>
      </w:r>
      <w:r w:rsidR="00725CA9" w:rsidRPr="00357DC2">
        <w:rPr>
          <w:lang w:val="fr-FR"/>
        </w:rPr>
        <w:t>équité</w:t>
      </w:r>
      <w:r w:rsidR="007071F9" w:rsidRPr="00357DC2">
        <w:rPr>
          <w:lang w:val="fr-FR"/>
        </w:rPr>
        <w:t xml:space="preserve"> de la procédure.</w:t>
      </w:r>
    </w:p>
    <w:p w:rsidR="00520396" w:rsidRPr="00357DC2" w:rsidRDefault="00FA1201" w:rsidP="00357DC2">
      <w:pPr>
        <w:pStyle w:val="ECHRHeading1"/>
        <w:rPr>
          <w:lang w:val="fr-FR"/>
        </w:rPr>
      </w:pPr>
      <w:r w:rsidRPr="00357DC2">
        <w:rPr>
          <w:lang w:val="fr-FR"/>
        </w:rPr>
        <w:t>I</w:t>
      </w:r>
      <w:r w:rsidR="00520396" w:rsidRPr="00357DC2">
        <w:rPr>
          <w:lang w:val="fr-FR"/>
        </w:rPr>
        <w:t>II.  </w:t>
      </w:r>
      <w:r w:rsidR="006204C4" w:rsidRPr="00357DC2">
        <w:rPr>
          <w:lang w:val="fr-FR"/>
        </w:rPr>
        <w:t>LA RECOMMANDATION N</w:t>
      </w:r>
      <w:r w:rsidR="007A6B24" w:rsidRPr="00357DC2">
        <w:rPr>
          <w:vertAlign w:val="superscript"/>
          <w:lang w:val="fr-FR"/>
        </w:rPr>
        <w:t>o</w:t>
      </w:r>
      <w:r w:rsidR="006204C4" w:rsidRPr="00357DC2">
        <w:rPr>
          <w:lang w:val="fr-FR"/>
        </w:rPr>
        <w:t xml:space="preserve"> R (2000) 2 DU COMITÉ DES MINISTRES</w:t>
      </w:r>
    </w:p>
    <w:p w:rsidR="006204C4"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36</w:t>
      </w:r>
      <w:r w:rsidRPr="00357DC2">
        <w:rPr>
          <w:lang w:val="fr-FR"/>
        </w:rPr>
        <w:fldChar w:fldCharType="end"/>
      </w:r>
      <w:r w:rsidRPr="00357DC2">
        <w:rPr>
          <w:lang w:val="fr-FR"/>
        </w:rPr>
        <w:t>.  Le 19 janvier 2000, lors de la 694</w:t>
      </w:r>
      <w:r w:rsidRPr="00357DC2">
        <w:rPr>
          <w:vertAlign w:val="superscript"/>
          <w:lang w:val="fr-FR"/>
        </w:rPr>
        <w:t>e</w:t>
      </w:r>
      <w:r w:rsidRPr="00357DC2">
        <w:rPr>
          <w:lang w:val="fr-FR"/>
        </w:rPr>
        <w:t xml:space="preserve"> réunion des Délégués des Ministres, le Comité des Ministres du Conseil de l</w:t>
      </w:r>
      <w:r w:rsidR="00357DC2" w:rsidRPr="00357DC2">
        <w:rPr>
          <w:lang w:val="fr-FR"/>
        </w:rPr>
        <w:t>’</w:t>
      </w:r>
      <w:r w:rsidRPr="00357DC2">
        <w:rPr>
          <w:lang w:val="fr-FR"/>
        </w:rPr>
        <w:t>Europe a adopté la Recommandation n</w:t>
      </w:r>
      <w:r w:rsidRPr="00357DC2">
        <w:rPr>
          <w:vertAlign w:val="superscript"/>
          <w:lang w:val="fr-FR"/>
        </w:rPr>
        <w:t>o</w:t>
      </w:r>
      <w:r w:rsidRPr="00357DC2">
        <w:rPr>
          <w:lang w:val="fr-FR"/>
        </w:rPr>
        <w:t xml:space="preserve"> R (2000) 2 sur le réexamen ou la réouverture de certaines affaires au niveau interne suite à des arrêts de la Cour européenne des droits de l</w:t>
      </w:r>
      <w:r w:rsidR="00357DC2" w:rsidRPr="00357DC2">
        <w:rPr>
          <w:lang w:val="fr-FR"/>
        </w:rPr>
        <w:t>’</w:t>
      </w:r>
      <w:r w:rsidR="006204C4" w:rsidRPr="00357DC2">
        <w:rPr>
          <w:lang w:val="fr-FR"/>
        </w:rPr>
        <w:t>homme. La description des parties pertinentes de ladite</w:t>
      </w:r>
      <w:r w:rsidR="007A6B24" w:rsidRPr="00357DC2">
        <w:rPr>
          <w:lang w:val="fr-FR"/>
        </w:rPr>
        <w:t xml:space="preserve"> </w:t>
      </w:r>
      <w:r w:rsidR="006204C4" w:rsidRPr="00357DC2">
        <w:rPr>
          <w:lang w:val="fr-FR"/>
        </w:rPr>
        <w:t>Recommandation est contenue dans l</w:t>
      </w:r>
      <w:r w:rsidR="00357DC2" w:rsidRPr="00357DC2">
        <w:rPr>
          <w:lang w:val="fr-FR"/>
        </w:rPr>
        <w:t>’</w:t>
      </w:r>
      <w:r w:rsidR="006204C4" w:rsidRPr="00357DC2">
        <w:rPr>
          <w:lang w:val="fr-FR"/>
        </w:rPr>
        <w:t xml:space="preserve">arrêt </w:t>
      </w:r>
      <w:r w:rsidR="006204C4" w:rsidRPr="00357DC2">
        <w:rPr>
          <w:i/>
          <w:iCs/>
          <w:lang w:val="fr-FR"/>
        </w:rPr>
        <w:t>Moreira Ferreira c.</w:t>
      </w:r>
      <w:r w:rsidR="00971805" w:rsidRPr="00357DC2">
        <w:rPr>
          <w:i/>
          <w:iCs/>
          <w:lang w:val="fr-FR"/>
        </w:rPr>
        <w:t> </w:t>
      </w:r>
      <w:r w:rsidR="006204C4" w:rsidRPr="00357DC2">
        <w:rPr>
          <w:i/>
          <w:iCs/>
          <w:lang w:val="fr-FR"/>
        </w:rPr>
        <w:t>Portugal (n</w:t>
      </w:r>
      <w:r w:rsidR="006204C4" w:rsidRPr="00357DC2">
        <w:rPr>
          <w:i/>
          <w:vertAlign w:val="superscript"/>
          <w:lang w:val="fr-FR"/>
        </w:rPr>
        <w:t>o</w:t>
      </w:r>
      <w:r w:rsidR="006204C4" w:rsidRPr="00357DC2">
        <w:rPr>
          <w:i/>
          <w:iCs/>
          <w:lang w:val="fr-FR"/>
        </w:rPr>
        <w:t xml:space="preserve"> 2) </w:t>
      </w:r>
      <w:r w:rsidR="006204C4" w:rsidRPr="00357DC2">
        <w:rPr>
          <w:iCs/>
          <w:lang w:val="fr-FR"/>
        </w:rPr>
        <w:t>([GC]</w:t>
      </w:r>
      <w:r w:rsidR="006204C4" w:rsidRPr="00357DC2">
        <w:rPr>
          <w:lang w:val="fr-FR"/>
        </w:rPr>
        <w:t xml:space="preserve">, </w:t>
      </w:r>
      <w:r w:rsidR="006204C4" w:rsidRPr="00357DC2">
        <w:rPr>
          <w:lang w:val="fr-FR" w:eastAsia="en-GB"/>
        </w:rPr>
        <w:t>n</w:t>
      </w:r>
      <w:r w:rsidR="006204C4" w:rsidRPr="00357DC2">
        <w:rPr>
          <w:vertAlign w:val="superscript"/>
          <w:lang w:val="fr-FR"/>
        </w:rPr>
        <w:t>o</w:t>
      </w:r>
      <w:r w:rsidR="006204C4" w:rsidRPr="00357DC2">
        <w:rPr>
          <w:lang w:val="fr-FR" w:eastAsia="en-GB"/>
        </w:rPr>
        <w:t xml:space="preserve"> </w:t>
      </w:r>
      <w:r w:rsidR="006204C4" w:rsidRPr="00357DC2">
        <w:rPr>
          <w:iCs/>
          <w:lang w:val="fr-FR"/>
        </w:rPr>
        <w:t xml:space="preserve">19867/12, </w:t>
      </w:r>
      <w:r w:rsidR="006204C4" w:rsidRPr="00357DC2">
        <w:rPr>
          <w:lang w:val="fr-FR"/>
        </w:rPr>
        <w:t>§§ 32-33, CEDH 2017.</w:t>
      </w:r>
    </w:p>
    <w:p w:rsidR="00520396" w:rsidRPr="00357DC2" w:rsidRDefault="00520396" w:rsidP="00357DC2">
      <w:pPr>
        <w:pStyle w:val="ECHRTitle1"/>
        <w:rPr>
          <w:lang w:val="fr-FR"/>
        </w:rPr>
      </w:pPr>
      <w:r w:rsidRPr="00357DC2">
        <w:rPr>
          <w:lang w:val="fr-FR"/>
        </w:rPr>
        <w:lastRenderedPageBreak/>
        <w:t>EN DROIT</w:t>
      </w:r>
    </w:p>
    <w:p w:rsidR="00520396" w:rsidRPr="00357DC2" w:rsidRDefault="00010E36" w:rsidP="00357DC2">
      <w:pPr>
        <w:pStyle w:val="ECHRHeading1"/>
        <w:ind w:left="0" w:firstLine="0"/>
        <w:rPr>
          <w:lang w:val="fr-FR"/>
        </w:rPr>
      </w:pPr>
      <w:r w:rsidRPr="00357DC2">
        <w:rPr>
          <w:lang w:val="fr-FR"/>
        </w:rPr>
        <w:t>SUR LES</w:t>
      </w:r>
      <w:r w:rsidR="00520396" w:rsidRPr="00357DC2">
        <w:rPr>
          <w:lang w:val="fr-FR"/>
        </w:rPr>
        <w:t xml:space="preserve"> VIOLATION</w:t>
      </w:r>
      <w:r w:rsidRPr="00357DC2">
        <w:rPr>
          <w:lang w:val="fr-FR"/>
        </w:rPr>
        <w:t>S</w:t>
      </w:r>
      <w:r w:rsidR="00520396" w:rsidRPr="00357DC2">
        <w:rPr>
          <w:lang w:val="fr-FR"/>
        </w:rPr>
        <w:t xml:space="preserve"> ALLÉGUÉE</w:t>
      </w:r>
      <w:r w:rsidRPr="00357DC2">
        <w:rPr>
          <w:lang w:val="fr-FR"/>
        </w:rPr>
        <w:t>S</w:t>
      </w:r>
      <w:r w:rsidR="00520396" w:rsidRPr="00357DC2">
        <w:rPr>
          <w:lang w:val="fr-FR"/>
        </w:rPr>
        <w:t xml:space="preserve"> DE L</w:t>
      </w:r>
      <w:r w:rsidR="00357DC2" w:rsidRPr="00357DC2">
        <w:rPr>
          <w:lang w:val="fr-FR"/>
        </w:rPr>
        <w:t>’</w:t>
      </w:r>
      <w:r w:rsidR="00520396" w:rsidRPr="00357DC2">
        <w:rPr>
          <w:lang w:val="fr-FR"/>
        </w:rPr>
        <w:t>ARTICLE 6 §§ 1 ET 3</w:t>
      </w:r>
      <w:r w:rsidR="00971805" w:rsidRPr="00357DC2">
        <w:rPr>
          <w:lang w:val="fr-FR"/>
        </w:rPr>
        <w:t> </w:t>
      </w:r>
      <w:r w:rsidR="00520396" w:rsidRPr="00357DC2">
        <w:rPr>
          <w:lang w:val="fr-FR"/>
        </w:rPr>
        <w:t>a) ET b) DE LA CONVENTION</w:t>
      </w:r>
    </w:p>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37</w:t>
      </w:r>
      <w:r w:rsidRPr="00357DC2">
        <w:rPr>
          <w:lang w:val="fr-FR"/>
        </w:rPr>
        <w:fldChar w:fldCharType="end"/>
      </w:r>
      <w:r w:rsidRPr="00357DC2">
        <w:rPr>
          <w:lang w:val="fr-FR"/>
        </w:rPr>
        <w:t xml:space="preserve">.  Le requérant </w:t>
      </w:r>
      <w:r w:rsidR="00010E36" w:rsidRPr="00357DC2">
        <w:rPr>
          <w:lang w:val="fr-FR"/>
        </w:rPr>
        <w:t>allègue tout d</w:t>
      </w:r>
      <w:r w:rsidR="00357DC2" w:rsidRPr="00357DC2">
        <w:rPr>
          <w:lang w:val="fr-FR"/>
        </w:rPr>
        <w:t>’</w:t>
      </w:r>
      <w:r w:rsidR="00010E36" w:rsidRPr="00357DC2">
        <w:rPr>
          <w:lang w:val="fr-FR"/>
        </w:rPr>
        <w:t>abord</w:t>
      </w:r>
      <w:r w:rsidRPr="00357DC2">
        <w:rPr>
          <w:lang w:val="fr-FR"/>
        </w:rPr>
        <w:t xml:space="preserve"> que les juridictions nationales ne se sont pas conformées aux indications ressortant de l</w:t>
      </w:r>
      <w:r w:rsidR="00357DC2" w:rsidRPr="00357DC2">
        <w:rPr>
          <w:lang w:val="fr-FR"/>
        </w:rPr>
        <w:t>’</w:t>
      </w:r>
      <w:r w:rsidRPr="00357DC2">
        <w:rPr>
          <w:lang w:val="fr-FR"/>
        </w:rPr>
        <w:t xml:space="preserve">arrêt </w:t>
      </w:r>
      <w:r w:rsidRPr="00357DC2">
        <w:rPr>
          <w:i/>
          <w:lang w:val="fr-FR"/>
        </w:rPr>
        <w:t>Drassich c.</w:t>
      </w:r>
      <w:r w:rsidR="00971805" w:rsidRPr="00357DC2">
        <w:rPr>
          <w:i/>
          <w:lang w:val="fr-FR"/>
        </w:rPr>
        <w:t> </w:t>
      </w:r>
      <w:r w:rsidRPr="00357DC2">
        <w:rPr>
          <w:i/>
          <w:lang w:val="fr-FR"/>
        </w:rPr>
        <w:t>Italie</w:t>
      </w:r>
      <w:r w:rsidRPr="00357DC2">
        <w:rPr>
          <w:lang w:val="fr-FR"/>
        </w:rPr>
        <w:t xml:space="preserve"> </w:t>
      </w:r>
      <w:r w:rsidR="00730701" w:rsidRPr="00357DC2">
        <w:rPr>
          <w:lang w:val="fr-FR"/>
        </w:rPr>
        <w:t>(</w:t>
      </w:r>
      <w:r w:rsidRPr="00357DC2">
        <w:rPr>
          <w:lang w:val="fr-FR"/>
        </w:rPr>
        <w:t>n</w:t>
      </w:r>
      <w:r w:rsidRPr="00357DC2">
        <w:rPr>
          <w:vertAlign w:val="superscript"/>
          <w:lang w:val="fr-FR"/>
        </w:rPr>
        <w:t>o </w:t>
      </w:r>
      <w:r w:rsidRPr="00357DC2">
        <w:rPr>
          <w:lang w:val="fr-FR"/>
        </w:rPr>
        <w:t>25575/04, 11  décembre 2007</w:t>
      </w:r>
      <w:r w:rsidR="00730701" w:rsidRPr="00357DC2">
        <w:rPr>
          <w:lang w:val="fr-FR"/>
        </w:rPr>
        <w:t>)</w:t>
      </w:r>
      <w:r w:rsidRPr="00357DC2">
        <w:rPr>
          <w:lang w:val="fr-FR"/>
        </w:rPr>
        <w:t xml:space="preserve">, et </w:t>
      </w:r>
      <w:r w:rsidR="00730701" w:rsidRPr="00357DC2">
        <w:rPr>
          <w:lang w:val="fr-FR"/>
        </w:rPr>
        <w:t>qu</w:t>
      </w:r>
      <w:r w:rsidR="00357DC2" w:rsidRPr="00357DC2">
        <w:rPr>
          <w:lang w:val="fr-FR"/>
        </w:rPr>
        <w:t>’</w:t>
      </w:r>
      <w:r w:rsidR="00730701" w:rsidRPr="00357DC2">
        <w:rPr>
          <w:lang w:val="fr-FR"/>
        </w:rPr>
        <w:t xml:space="preserve">elles </w:t>
      </w:r>
      <w:r w:rsidRPr="00357DC2">
        <w:rPr>
          <w:lang w:val="fr-FR"/>
        </w:rPr>
        <w:t>ont violé à nouveau l</w:t>
      </w:r>
      <w:r w:rsidR="00357DC2" w:rsidRPr="00357DC2">
        <w:rPr>
          <w:lang w:val="fr-FR"/>
        </w:rPr>
        <w:t>’</w:t>
      </w:r>
      <w:r w:rsidRPr="00357DC2">
        <w:rPr>
          <w:lang w:val="fr-FR"/>
        </w:rPr>
        <w:t>article 6 §§ 1 et 3 a) et b) de la Convention, ainsi libellé :</w:t>
      </w:r>
    </w:p>
    <w:p w:rsidR="00520396" w:rsidRPr="00357DC2" w:rsidRDefault="00520396" w:rsidP="00357DC2">
      <w:pPr>
        <w:pStyle w:val="ECHRParaQuote"/>
        <w:rPr>
          <w:lang w:val="fr-FR"/>
        </w:rPr>
      </w:pPr>
      <w:r w:rsidRPr="00357DC2">
        <w:rPr>
          <w:lang w:val="fr-FR"/>
        </w:rPr>
        <w:t>« Toute personne a droit à ce que sa cause soit entendue équitablement (...) par un tribunal (...) qui décidera (...) du bien-fondé de toute accusation en matière pénale dirigée contre elle. »</w:t>
      </w:r>
    </w:p>
    <w:p w:rsidR="00520396" w:rsidRPr="00357DC2" w:rsidRDefault="00520396" w:rsidP="00357DC2">
      <w:pPr>
        <w:pStyle w:val="ECHRParaQuote"/>
        <w:rPr>
          <w:rFonts w:eastAsia="Times New Roman"/>
          <w:lang w:val="fr-FR" w:eastAsia="fr-FR"/>
        </w:rPr>
      </w:pPr>
      <w:r w:rsidRPr="00357DC2">
        <w:rPr>
          <w:rFonts w:eastAsia="Times New Roman"/>
          <w:lang w:val="fr-FR" w:eastAsia="fr-FR"/>
        </w:rPr>
        <w:t>(...)</w:t>
      </w:r>
    </w:p>
    <w:p w:rsidR="00520396" w:rsidRPr="00357DC2" w:rsidRDefault="00520396" w:rsidP="00357DC2">
      <w:pPr>
        <w:pStyle w:val="ECHRParaQuote"/>
        <w:rPr>
          <w:rFonts w:eastAsia="Times New Roman"/>
          <w:lang w:val="fr-FR" w:eastAsia="fr-FR"/>
        </w:rPr>
      </w:pPr>
      <w:r w:rsidRPr="00357DC2">
        <w:rPr>
          <w:rFonts w:eastAsia="Times New Roman"/>
          <w:lang w:val="fr-FR" w:eastAsia="fr-FR"/>
        </w:rPr>
        <w:t>3.  Tout accusé a droit notamment à :</w:t>
      </w:r>
    </w:p>
    <w:p w:rsidR="00520396" w:rsidRPr="00357DC2" w:rsidRDefault="00520396" w:rsidP="00357DC2">
      <w:pPr>
        <w:pStyle w:val="ECHRParaQuote"/>
        <w:rPr>
          <w:rFonts w:eastAsia="Times New Roman"/>
          <w:lang w:val="fr-FR" w:eastAsia="fr-FR"/>
        </w:rPr>
      </w:pPr>
      <w:r w:rsidRPr="00357DC2">
        <w:rPr>
          <w:rFonts w:eastAsia="Times New Roman"/>
          <w:lang w:val="fr-FR" w:eastAsia="fr-FR"/>
        </w:rPr>
        <w:t>a)  être informé, dans le plus court délai, dans une langue qu</w:t>
      </w:r>
      <w:r w:rsidR="00357DC2" w:rsidRPr="00357DC2">
        <w:rPr>
          <w:rFonts w:eastAsia="Times New Roman"/>
          <w:lang w:val="fr-FR" w:eastAsia="fr-FR"/>
        </w:rPr>
        <w:t>’</w:t>
      </w:r>
      <w:r w:rsidRPr="00357DC2">
        <w:rPr>
          <w:rFonts w:eastAsia="Times New Roman"/>
          <w:lang w:val="fr-FR" w:eastAsia="fr-FR"/>
        </w:rPr>
        <w:t>il comprend et d</w:t>
      </w:r>
      <w:r w:rsidR="00357DC2" w:rsidRPr="00357DC2">
        <w:rPr>
          <w:rFonts w:eastAsia="Times New Roman"/>
          <w:lang w:val="fr-FR" w:eastAsia="fr-FR"/>
        </w:rPr>
        <w:t>’</w:t>
      </w:r>
      <w:r w:rsidRPr="00357DC2">
        <w:rPr>
          <w:rFonts w:eastAsia="Times New Roman"/>
          <w:lang w:val="fr-FR" w:eastAsia="fr-FR"/>
        </w:rPr>
        <w:t>une manière détaillée, de la nature et de la cause de l</w:t>
      </w:r>
      <w:r w:rsidR="00357DC2" w:rsidRPr="00357DC2">
        <w:rPr>
          <w:rFonts w:eastAsia="Times New Roman"/>
          <w:lang w:val="fr-FR" w:eastAsia="fr-FR"/>
        </w:rPr>
        <w:t>’</w:t>
      </w:r>
      <w:r w:rsidRPr="00357DC2">
        <w:rPr>
          <w:rFonts w:eastAsia="Times New Roman"/>
          <w:lang w:val="fr-FR" w:eastAsia="fr-FR"/>
        </w:rPr>
        <w:t>accusation portée contre lui ;</w:t>
      </w:r>
    </w:p>
    <w:p w:rsidR="00520396" w:rsidRPr="00357DC2" w:rsidRDefault="00520396" w:rsidP="00357DC2">
      <w:pPr>
        <w:pStyle w:val="ECHRParaQuote"/>
        <w:rPr>
          <w:rFonts w:eastAsia="Times New Roman"/>
          <w:lang w:val="fr-FR" w:eastAsia="fr-FR"/>
        </w:rPr>
      </w:pPr>
      <w:r w:rsidRPr="00357DC2">
        <w:rPr>
          <w:rFonts w:eastAsia="Times New Roman"/>
          <w:lang w:val="fr-FR" w:eastAsia="fr-FR"/>
        </w:rPr>
        <w:t>b)  disposer du temps et des facilités nécessaires à la préparation de sa défense ; (...) »</w:t>
      </w:r>
    </w:p>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38</w:t>
      </w:r>
      <w:r w:rsidRPr="00357DC2">
        <w:rPr>
          <w:lang w:val="fr-FR"/>
        </w:rPr>
        <w:fldChar w:fldCharType="end"/>
      </w:r>
      <w:r w:rsidRPr="00357DC2">
        <w:rPr>
          <w:lang w:val="fr-FR"/>
        </w:rPr>
        <w:t>.  </w:t>
      </w:r>
      <w:r w:rsidR="00EF7036" w:rsidRPr="00357DC2">
        <w:rPr>
          <w:lang w:val="fr-FR"/>
        </w:rPr>
        <w:t>Il</w:t>
      </w:r>
      <w:r w:rsidR="00010E36" w:rsidRPr="00357DC2">
        <w:rPr>
          <w:lang w:val="fr-FR"/>
        </w:rPr>
        <w:t xml:space="preserve"> se plaint </w:t>
      </w:r>
      <w:r w:rsidR="00EF7036" w:rsidRPr="00357DC2">
        <w:rPr>
          <w:lang w:val="fr-FR"/>
        </w:rPr>
        <w:t xml:space="preserve">ensuite </w:t>
      </w:r>
      <w:r w:rsidR="00010E36" w:rsidRPr="00357DC2">
        <w:rPr>
          <w:lang w:val="fr-FR"/>
        </w:rPr>
        <w:t xml:space="preserve">de ne pas avoir pu </w:t>
      </w:r>
      <w:r w:rsidR="003A034C" w:rsidRPr="00357DC2">
        <w:rPr>
          <w:lang w:val="fr-FR"/>
        </w:rPr>
        <w:t>comparaî</w:t>
      </w:r>
      <w:r w:rsidR="00010E36" w:rsidRPr="00357DC2">
        <w:rPr>
          <w:lang w:val="fr-FR"/>
        </w:rPr>
        <w:t>tre personnellement devant la Cour de cassation.</w:t>
      </w:r>
    </w:p>
    <w:p w:rsidR="00520396" w:rsidRPr="00357DC2" w:rsidRDefault="00520396" w:rsidP="00357DC2">
      <w:pPr>
        <w:pStyle w:val="ECHRHeading2"/>
        <w:rPr>
          <w:lang w:val="fr-FR"/>
        </w:rPr>
      </w:pPr>
      <w:r w:rsidRPr="00357DC2">
        <w:rPr>
          <w:lang w:val="fr-FR"/>
        </w:rPr>
        <w:t xml:space="preserve">A.  Sur la </w:t>
      </w:r>
      <w:r w:rsidR="00142EF1" w:rsidRPr="00357DC2">
        <w:rPr>
          <w:lang w:val="fr-FR"/>
        </w:rPr>
        <w:t>recevabilité</w:t>
      </w:r>
    </w:p>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39</w:t>
      </w:r>
      <w:r w:rsidRPr="00357DC2">
        <w:rPr>
          <w:lang w:val="fr-FR"/>
        </w:rPr>
        <w:fldChar w:fldCharType="end"/>
      </w:r>
      <w:r w:rsidRPr="00357DC2">
        <w:rPr>
          <w:lang w:val="fr-FR"/>
        </w:rPr>
        <w:t>.  Le Gouvernement est convaincu que la question de savoir si</w:t>
      </w:r>
      <w:r w:rsidR="00D93CA5" w:rsidRPr="00357DC2">
        <w:rPr>
          <w:lang w:val="fr-FR"/>
        </w:rPr>
        <w:t xml:space="preserve"> </w:t>
      </w:r>
      <w:r w:rsidRPr="00357DC2">
        <w:rPr>
          <w:lang w:val="fr-FR"/>
        </w:rPr>
        <w:t>l</w:t>
      </w:r>
      <w:r w:rsidR="00357DC2" w:rsidRPr="00357DC2">
        <w:rPr>
          <w:lang w:val="fr-FR"/>
        </w:rPr>
        <w:t>’</w:t>
      </w:r>
      <w:r w:rsidRPr="00357DC2">
        <w:rPr>
          <w:lang w:val="fr-FR"/>
        </w:rPr>
        <w:t>application par analogie de l</w:t>
      </w:r>
      <w:r w:rsidR="00357DC2" w:rsidRPr="00357DC2">
        <w:rPr>
          <w:lang w:val="fr-FR"/>
        </w:rPr>
        <w:t>’</w:t>
      </w:r>
      <w:r w:rsidRPr="00357DC2">
        <w:rPr>
          <w:lang w:val="fr-FR"/>
        </w:rPr>
        <w:t>article 625</w:t>
      </w:r>
      <w:r w:rsidR="00EF7036" w:rsidRPr="00357DC2">
        <w:rPr>
          <w:lang w:val="fr-FR"/>
        </w:rPr>
        <w:t xml:space="preserve"> </w:t>
      </w:r>
      <w:r w:rsidRPr="00357DC2">
        <w:rPr>
          <w:i/>
          <w:lang w:val="fr-FR"/>
        </w:rPr>
        <w:t>bis</w:t>
      </w:r>
      <w:r w:rsidRPr="00357DC2">
        <w:rPr>
          <w:lang w:val="fr-FR"/>
        </w:rPr>
        <w:t xml:space="preserve"> du </w:t>
      </w:r>
      <w:r w:rsidR="0075612F" w:rsidRPr="00357DC2">
        <w:rPr>
          <w:lang w:val="fr-FR"/>
        </w:rPr>
        <w:t>CPP</w:t>
      </w:r>
      <w:r w:rsidRPr="00357DC2">
        <w:rPr>
          <w:lang w:val="fr-FR"/>
        </w:rPr>
        <w:t xml:space="preserve"> a constitué une mesure suffisante d</w:t>
      </w:r>
      <w:r w:rsidR="00357DC2" w:rsidRPr="00357DC2">
        <w:rPr>
          <w:lang w:val="fr-FR"/>
        </w:rPr>
        <w:t>’</w:t>
      </w:r>
      <w:r w:rsidRPr="00357DC2">
        <w:rPr>
          <w:lang w:val="fr-FR"/>
        </w:rPr>
        <w:t>exécution de l</w:t>
      </w:r>
      <w:r w:rsidR="00357DC2" w:rsidRPr="00357DC2">
        <w:rPr>
          <w:lang w:val="fr-FR"/>
        </w:rPr>
        <w:t>’</w:t>
      </w:r>
      <w:r w:rsidRPr="00357DC2">
        <w:rPr>
          <w:lang w:val="fr-FR"/>
        </w:rPr>
        <w:t>arrêt du 11 décembre 2007 sur le plan individuel est du ressort du Comité des Ministres en vertu de l</w:t>
      </w:r>
      <w:r w:rsidR="00357DC2" w:rsidRPr="00357DC2">
        <w:rPr>
          <w:lang w:val="fr-FR"/>
        </w:rPr>
        <w:t>’</w:t>
      </w:r>
      <w:r w:rsidRPr="00357DC2">
        <w:rPr>
          <w:lang w:val="fr-FR"/>
        </w:rPr>
        <w:t>article 46 § 2 de la Convention.</w:t>
      </w:r>
    </w:p>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40</w:t>
      </w:r>
      <w:r w:rsidRPr="00357DC2">
        <w:rPr>
          <w:lang w:val="fr-FR"/>
        </w:rPr>
        <w:fldChar w:fldCharType="end"/>
      </w:r>
      <w:r w:rsidRPr="00357DC2">
        <w:rPr>
          <w:lang w:val="fr-FR"/>
        </w:rPr>
        <w:t>.  </w:t>
      </w:r>
      <w:r w:rsidR="00D93CA5" w:rsidRPr="00357DC2">
        <w:rPr>
          <w:rFonts w:cstheme="minorHAnsi"/>
          <w:lang w:val="fr-FR"/>
        </w:rPr>
        <w:t>À</w:t>
      </w:r>
      <w:r w:rsidRPr="00357DC2">
        <w:rPr>
          <w:lang w:val="fr-FR"/>
        </w:rPr>
        <w:t xml:space="preserve"> cet égard, il </w:t>
      </w:r>
      <w:r w:rsidR="00EF7036" w:rsidRPr="00357DC2">
        <w:rPr>
          <w:lang w:val="fr-FR"/>
        </w:rPr>
        <w:t xml:space="preserve">estime </w:t>
      </w:r>
      <w:r w:rsidRPr="00357DC2">
        <w:rPr>
          <w:lang w:val="fr-FR"/>
        </w:rPr>
        <w:t>que la présente affaire est similaire à l</w:t>
      </w:r>
      <w:r w:rsidR="00357DC2" w:rsidRPr="00357DC2">
        <w:rPr>
          <w:lang w:val="fr-FR"/>
        </w:rPr>
        <w:t>’</w:t>
      </w:r>
      <w:r w:rsidRPr="00357DC2">
        <w:rPr>
          <w:lang w:val="fr-FR"/>
        </w:rPr>
        <w:t xml:space="preserve">affaire </w:t>
      </w:r>
      <w:r w:rsidRPr="00357DC2">
        <w:rPr>
          <w:i/>
          <w:lang w:val="fr-FR"/>
        </w:rPr>
        <w:t>Öcalan</w:t>
      </w:r>
      <w:r w:rsidRPr="00357DC2">
        <w:rPr>
          <w:lang w:val="fr-FR"/>
        </w:rPr>
        <w:t xml:space="preserve"> </w:t>
      </w:r>
      <w:r w:rsidRPr="00357DC2">
        <w:rPr>
          <w:i/>
          <w:lang w:val="fr-FR"/>
        </w:rPr>
        <w:t>c. Turquie</w:t>
      </w:r>
      <w:r w:rsidRPr="00357DC2">
        <w:rPr>
          <w:lang w:val="fr-FR"/>
        </w:rPr>
        <w:t xml:space="preserve"> (</w:t>
      </w:r>
      <w:r w:rsidR="00EF7036" w:rsidRPr="00357DC2">
        <w:rPr>
          <w:lang w:val="fr-FR"/>
        </w:rPr>
        <w:t>(</w:t>
      </w:r>
      <w:r w:rsidRPr="00357DC2">
        <w:rPr>
          <w:lang w:val="fr-FR"/>
        </w:rPr>
        <w:t>déc.), n</w:t>
      </w:r>
      <w:r w:rsidRPr="00357DC2">
        <w:rPr>
          <w:vertAlign w:val="superscript"/>
          <w:lang w:val="fr-FR"/>
        </w:rPr>
        <w:t>o</w:t>
      </w:r>
      <w:r w:rsidRPr="00357DC2">
        <w:rPr>
          <w:lang w:val="fr-FR"/>
        </w:rPr>
        <w:t xml:space="preserve"> 5980/07, 6 juillet 2010)</w:t>
      </w:r>
      <w:r w:rsidR="00575241" w:rsidRPr="00357DC2">
        <w:rPr>
          <w:lang w:val="fr-FR"/>
        </w:rPr>
        <w:t>, arguant que</w:t>
      </w:r>
      <w:r w:rsidRPr="00357DC2">
        <w:rPr>
          <w:lang w:val="fr-FR"/>
        </w:rPr>
        <w:t xml:space="preserve"> le Comité des Ministres, par l</w:t>
      </w:r>
      <w:r w:rsidR="00357DC2" w:rsidRPr="00357DC2">
        <w:rPr>
          <w:lang w:val="fr-FR"/>
        </w:rPr>
        <w:t>’</w:t>
      </w:r>
      <w:r w:rsidRPr="00357DC2">
        <w:rPr>
          <w:lang w:val="fr-FR"/>
        </w:rPr>
        <w:t>adoption de la Résolution ResDH(2009)87 du 29</w:t>
      </w:r>
      <w:r w:rsidR="00971805" w:rsidRPr="00357DC2">
        <w:rPr>
          <w:lang w:val="fr-FR"/>
        </w:rPr>
        <w:t> </w:t>
      </w:r>
      <w:r w:rsidRPr="00357DC2">
        <w:rPr>
          <w:lang w:val="fr-FR"/>
        </w:rPr>
        <w:t>septembre</w:t>
      </w:r>
      <w:r w:rsidR="003A4BAE" w:rsidRPr="00357DC2">
        <w:rPr>
          <w:lang w:val="fr-FR"/>
        </w:rPr>
        <w:t xml:space="preserve"> </w:t>
      </w:r>
      <w:r w:rsidRPr="00357DC2">
        <w:rPr>
          <w:lang w:val="fr-FR"/>
        </w:rPr>
        <w:t>2009, a mis fin à sa surveillance de l</w:t>
      </w:r>
      <w:r w:rsidR="00357DC2" w:rsidRPr="00357DC2">
        <w:rPr>
          <w:lang w:val="fr-FR"/>
        </w:rPr>
        <w:t>’</w:t>
      </w:r>
      <w:r w:rsidRPr="00357DC2">
        <w:rPr>
          <w:lang w:val="fr-FR"/>
        </w:rPr>
        <w:t>exécution de l</w:t>
      </w:r>
      <w:r w:rsidR="00357DC2" w:rsidRPr="00357DC2">
        <w:rPr>
          <w:lang w:val="fr-FR"/>
        </w:rPr>
        <w:t>’</w:t>
      </w:r>
      <w:r w:rsidRPr="00357DC2">
        <w:rPr>
          <w:lang w:val="fr-FR"/>
        </w:rPr>
        <w:t>arrêt de la Cour du 11 décembre 2007</w:t>
      </w:r>
      <w:r w:rsidR="00EF7036" w:rsidRPr="00357DC2">
        <w:rPr>
          <w:lang w:val="fr-FR"/>
        </w:rPr>
        <w:t>,</w:t>
      </w:r>
      <w:r w:rsidR="00575241" w:rsidRPr="00357DC2">
        <w:rPr>
          <w:lang w:val="fr-FR"/>
        </w:rPr>
        <w:t xml:space="preserve"> que</w:t>
      </w:r>
      <w:r w:rsidRPr="00357DC2">
        <w:rPr>
          <w:lang w:val="fr-FR"/>
        </w:rPr>
        <w:t xml:space="preserve">, après avoir pris en compte les éléments du dossier, </w:t>
      </w:r>
      <w:r w:rsidR="00575241" w:rsidRPr="00357DC2">
        <w:rPr>
          <w:lang w:val="fr-FR"/>
        </w:rPr>
        <w:t xml:space="preserve">il </w:t>
      </w:r>
      <w:r w:rsidRPr="00357DC2">
        <w:rPr>
          <w:lang w:val="fr-FR"/>
        </w:rPr>
        <w:t>a conclu que l</w:t>
      </w:r>
      <w:r w:rsidR="00357DC2" w:rsidRPr="00357DC2">
        <w:rPr>
          <w:lang w:val="fr-FR"/>
        </w:rPr>
        <w:t>’</w:t>
      </w:r>
      <w:r w:rsidR="00D93CA5" w:rsidRPr="00357DC2">
        <w:rPr>
          <w:rFonts w:cstheme="minorHAnsi"/>
          <w:lang w:val="fr-FR"/>
        </w:rPr>
        <w:t>É</w:t>
      </w:r>
      <w:r w:rsidRPr="00357DC2">
        <w:rPr>
          <w:lang w:val="fr-FR"/>
        </w:rPr>
        <w:t>tat italien s</w:t>
      </w:r>
      <w:r w:rsidR="00357DC2" w:rsidRPr="00357DC2">
        <w:rPr>
          <w:lang w:val="fr-FR"/>
        </w:rPr>
        <w:t>’</w:t>
      </w:r>
      <w:r w:rsidRPr="00357DC2">
        <w:rPr>
          <w:lang w:val="fr-FR"/>
        </w:rPr>
        <w:t>était acquitté des obligations lui incomb</w:t>
      </w:r>
      <w:r w:rsidR="00E67B1D" w:rsidRPr="00357DC2">
        <w:rPr>
          <w:lang w:val="fr-FR"/>
        </w:rPr>
        <w:t>a</w:t>
      </w:r>
      <w:r w:rsidRPr="00357DC2">
        <w:rPr>
          <w:lang w:val="fr-FR"/>
        </w:rPr>
        <w:t>nt en vertu de l</w:t>
      </w:r>
      <w:r w:rsidR="00357DC2" w:rsidRPr="00357DC2">
        <w:rPr>
          <w:lang w:val="fr-FR"/>
        </w:rPr>
        <w:t>’</w:t>
      </w:r>
      <w:r w:rsidRPr="00357DC2">
        <w:rPr>
          <w:lang w:val="fr-FR"/>
        </w:rPr>
        <w:t xml:space="preserve">article 46 de la Convention et </w:t>
      </w:r>
      <w:r w:rsidR="00EF7036" w:rsidRPr="00357DC2">
        <w:rPr>
          <w:lang w:val="fr-FR"/>
        </w:rPr>
        <w:t>qu</w:t>
      </w:r>
      <w:r w:rsidR="00357DC2" w:rsidRPr="00357DC2">
        <w:rPr>
          <w:lang w:val="fr-FR"/>
        </w:rPr>
        <w:t>’</w:t>
      </w:r>
      <w:r w:rsidR="00E67B1D" w:rsidRPr="00357DC2">
        <w:rPr>
          <w:lang w:val="fr-FR"/>
        </w:rPr>
        <w:t xml:space="preserve">il </w:t>
      </w:r>
      <w:r w:rsidRPr="00357DC2">
        <w:rPr>
          <w:lang w:val="fr-FR"/>
        </w:rPr>
        <w:t>a décidé de clore l</w:t>
      </w:r>
      <w:r w:rsidR="00357DC2" w:rsidRPr="00357DC2">
        <w:rPr>
          <w:lang w:val="fr-FR"/>
        </w:rPr>
        <w:t>’</w:t>
      </w:r>
      <w:r w:rsidRPr="00357DC2">
        <w:rPr>
          <w:lang w:val="fr-FR"/>
        </w:rPr>
        <w:t>examen de l</w:t>
      </w:r>
      <w:r w:rsidR="00357DC2" w:rsidRPr="00357DC2">
        <w:rPr>
          <w:lang w:val="fr-FR"/>
        </w:rPr>
        <w:t>’</w:t>
      </w:r>
      <w:r w:rsidRPr="00357DC2">
        <w:rPr>
          <w:lang w:val="fr-FR"/>
        </w:rPr>
        <w:t>affaire.</w:t>
      </w:r>
    </w:p>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41</w:t>
      </w:r>
      <w:r w:rsidRPr="00357DC2">
        <w:rPr>
          <w:lang w:val="fr-FR"/>
        </w:rPr>
        <w:fldChar w:fldCharType="end"/>
      </w:r>
      <w:r w:rsidRPr="00357DC2">
        <w:rPr>
          <w:lang w:val="fr-FR"/>
        </w:rPr>
        <w:t>.  Le Gouvernement est d</w:t>
      </w:r>
      <w:r w:rsidR="00357DC2" w:rsidRPr="00357DC2">
        <w:rPr>
          <w:lang w:val="fr-FR"/>
        </w:rPr>
        <w:t>’</w:t>
      </w:r>
      <w:r w:rsidRPr="00357DC2">
        <w:rPr>
          <w:lang w:val="fr-FR"/>
        </w:rPr>
        <w:t>avis que la Cour ne saurait examiner la présente affaire sans empiéter sur les compétences du Comité des Ministres tirées de l</w:t>
      </w:r>
      <w:r w:rsidR="00357DC2" w:rsidRPr="00357DC2">
        <w:rPr>
          <w:lang w:val="fr-FR"/>
        </w:rPr>
        <w:t>’</w:t>
      </w:r>
      <w:r w:rsidRPr="00357DC2">
        <w:rPr>
          <w:lang w:val="fr-FR"/>
        </w:rPr>
        <w:t>article 46 de la Convention.</w:t>
      </w:r>
    </w:p>
    <w:p w:rsidR="00520396" w:rsidRPr="00357DC2" w:rsidRDefault="00520396" w:rsidP="00357DC2">
      <w:pPr>
        <w:pStyle w:val="ECHRPara"/>
        <w:keepNext/>
        <w:keepLines/>
        <w:rPr>
          <w:lang w:val="fr-FR"/>
        </w:rPr>
      </w:pPr>
      <w:r w:rsidRPr="00357DC2">
        <w:rPr>
          <w:lang w:val="fr-FR"/>
        </w:rPr>
        <w:lastRenderedPageBreak/>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42</w:t>
      </w:r>
      <w:r w:rsidRPr="00357DC2">
        <w:rPr>
          <w:lang w:val="fr-FR"/>
        </w:rPr>
        <w:fldChar w:fldCharType="end"/>
      </w:r>
      <w:r w:rsidRPr="00357DC2">
        <w:rPr>
          <w:lang w:val="fr-FR"/>
        </w:rPr>
        <w:t xml:space="preserve">.  Le requérant </w:t>
      </w:r>
      <w:r w:rsidR="00666806" w:rsidRPr="00357DC2">
        <w:rPr>
          <w:lang w:val="fr-FR"/>
        </w:rPr>
        <w:t>précise</w:t>
      </w:r>
      <w:r w:rsidRPr="00357DC2">
        <w:rPr>
          <w:lang w:val="fr-FR"/>
        </w:rPr>
        <w:t xml:space="preserve"> que la présente requête ne porte pas sur les modalités de l</w:t>
      </w:r>
      <w:r w:rsidR="00357DC2" w:rsidRPr="00357DC2">
        <w:rPr>
          <w:lang w:val="fr-FR"/>
        </w:rPr>
        <w:t>’</w:t>
      </w:r>
      <w:r w:rsidRPr="00357DC2">
        <w:rPr>
          <w:lang w:val="fr-FR"/>
        </w:rPr>
        <w:t>exécution de l</w:t>
      </w:r>
      <w:r w:rsidR="00357DC2" w:rsidRPr="00357DC2">
        <w:rPr>
          <w:lang w:val="fr-FR"/>
        </w:rPr>
        <w:t>’</w:t>
      </w:r>
      <w:r w:rsidRPr="00357DC2">
        <w:rPr>
          <w:lang w:val="fr-FR"/>
        </w:rPr>
        <w:t xml:space="preserve">arrêt de la Cour du 11 décembre 2007, mais </w:t>
      </w:r>
      <w:r w:rsidR="00666806" w:rsidRPr="00357DC2">
        <w:rPr>
          <w:lang w:val="fr-FR"/>
        </w:rPr>
        <w:t>qu</w:t>
      </w:r>
      <w:r w:rsidR="00357DC2" w:rsidRPr="00357DC2">
        <w:rPr>
          <w:lang w:val="fr-FR"/>
        </w:rPr>
        <w:t>’</w:t>
      </w:r>
      <w:r w:rsidR="00666806" w:rsidRPr="00357DC2">
        <w:rPr>
          <w:lang w:val="fr-FR"/>
        </w:rPr>
        <w:t xml:space="preserve">elle </w:t>
      </w:r>
      <w:r w:rsidRPr="00357DC2">
        <w:rPr>
          <w:lang w:val="fr-FR"/>
        </w:rPr>
        <w:t>vise à mettre en cause l</w:t>
      </w:r>
      <w:r w:rsidR="00357DC2" w:rsidRPr="00357DC2">
        <w:rPr>
          <w:lang w:val="fr-FR"/>
        </w:rPr>
        <w:t>’</w:t>
      </w:r>
      <w:r w:rsidRPr="00357DC2">
        <w:rPr>
          <w:lang w:val="fr-FR"/>
        </w:rPr>
        <w:t xml:space="preserve">équité de la </w:t>
      </w:r>
      <w:r w:rsidR="00CB7C39" w:rsidRPr="00357DC2">
        <w:rPr>
          <w:lang w:val="fr-FR"/>
        </w:rPr>
        <w:t xml:space="preserve">nouvelle </w:t>
      </w:r>
      <w:r w:rsidRPr="00357DC2">
        <w:rPr>
          <w:lang w:val="fr-FR"/>
        </w:rPr>
        <w:t>procédure pénale ouverte à la suite dudit arrêt.</w:t>
      </w:r>
    </w:p>
    <w:p w:rsidR="00125CD3" w:rsidRPr="00357DC2" w:rsidRDefault="008B2494" w:rsidP="00357DC2">
      <w:pPr>
        <w:pStyle w:val="ECHRPara"/>
        <w:rPr>
          <w:i/>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43</w:t>
      </w:r>
      <w:r w:rsidRPr="00357DC2">
        <w:rPr>
          <w:lang w:val="fr-FR"/>
        </w:rPr>
        <w:fldChar w:fldCharType="end"/>
      </w:r>
      <w:r w:rsidRPr="00357DC2">
        <w:rPr>
          <w:lang w:val="fr-FR"/>
        </w:rPr>
        <w:t>.  </w:t>
      </w:r>
      <w:r w:rsidR="00520396" w:rsidRPr="00357DC2">
        <w:rPr>
          <w:lang w:val="fr-FR"/>
        </w:rPr>
        <w:t xml:space="preserve">La Cour </w:t>
      </w:r>
      <w:r w:rsidR="00F2043E" w:rsidRPr="00357DC2">
        <w:rPr>
          <w:lang w:val="fr-FR"/>
        </w:rPr>
        <w:t xml:space="preserve">a récemment examiné la question de </w:t>
      </w:r>
      <w:r w:rsidR="0030524C" w:rsidRPr="00357DC2">
        <w:rPr>
          <w:lang w:val="fr-FR"/>
        </w:rPr>
        <w:t>sa</w:t>
      </w:r>
      <w:r w:rsidR="00F2043E" w:rsidRPr="00357DC2">
        <w:rPr>
          <w:lang w:val="fr-FR"/>
        </w:rPr>
        <w:t xml:space="preserve"> </w:t>
      </w:r>
      <w:r w:rsidRPr="00357DC2">
        <w:rPr>
          <w:lang w:val="fr-FR"/>
        </w:rPr>
        <w:t>compétence eu égard aux prérogatives de l</w:t>
      </w:r>
      <w:r w:rsidR="00357DC2" w:rsidRPr="00357DC2">
        <w:rPr>
          <w:lang w:val="fr-FR"/>
        </w:rPr>
        <w:t>’</w:t>
      </w:r>
      <w:r w:rsidR="00D93CA5" w:rsidRPr="00357DC2">
        <w:rPr>
          <w:rFonts w:cstheme="minorHAnsi"/>
          <w:lang w:val="fr-FR"/>
        </w:rPr>
        <w:t>É</w:t>
      </w:r>
      <w:r w:rsidRPr="00357DC2">
        <w:rPr>
          <w:lang w:val="fr-FR"/>
        </w:rPr>
        <w:t xml:space="preserve">tat défendeur et du Comité des Ministres </w:t>
      </w:r>
      <w:r w:rsidR="008F6C08" w:rsidRPr="00357DC2">
        <w:rPr>
          <w:lang w:val="fr-FR"/>
        </w:rPr>
        <w:t>dans l</w:t>
      </w:r>
      <w:r w:rsidR="00357DC2" w:rsidRPr="00357DC2">
        <w:rPr>
          <w:lang w:val="fr-FR"/>
        </w:rPr>
        <w:t>’</w:t>
      </w:r>
      <w:r w:rsidR="008F6C08" w:rsidRPr="00357DC2">
        <w:rPr>
          <w:lang w:val="fr-FR"/>
        </w:rPr>
        <w:t xml:space="preserve">arrêt </w:t>
      </w:r>
      <w:r w:rsidR="008F6C08" w:rsidRPr="00357DC2">
        <w:rPr>
          <w:i/>
          <w:iCs/>
          <w:lang w:val="fr-FR"/>
        </w:rPr>
        <w:t>Moreira Ferreira c. Portugal (n</w:t>
      </w:r>
      <w:r w:rsidR="008F6C08" w:rsidRPr="00357DC2">
        <w:rPr>
          <w:i/>
          <w:vertAlign w:val="superscript"/>
          <w:lang w:val="fr-FR"/>
        </w:rPr>
        <w:t>o</w:t>
      </w:r>
      <w:r w:rsidR="008F6C08" w:rsidRPr="00357DC2">
        <w:rPr>
          <w:i/>
          <w:iCs/>
          <w:lang w:val="fr-FR"/>
        </w:rPr>
        <w:t xml:space="preserve"> 2)</w:t>
      </w:r>
      <w:r w:rsidR="00924E00" w:rsidRPr="00357DC2">
        <w:rPr>
          <w:i/>
          <w:iCs/>
          <w:lang w:val="fr-FR"/>
        </w:rPr>
        <w:t xml:space="preserve">, </w:t>
      </w:r>
      <w:r w:rsidR="00924E00" w:rsidRPr="00357DC2">
        <w:rPr>
          <w:iCs/>
          <w:lang w:val="fr-FR"/>
        </w:rPr>
        <w:t>précité</w:t>
      </w:r>
      <w:r w:rsidR="008F6C08" w:rsidRPr="00357DC2">
        <w:rPr>
          <w:iCs/>
          <w:lang w:val="fr-FR"/>
        </w:rPr>
        <w:t xml:space="preserve">, </w:t>
      </w:r>
      <w:r w:rsidR="008F6C08" w:rsidRPr="00357DC2">
        <w:rPr>
          <w:lang w:val="fr-FR"/>
        </w:rPr>
        <w:t>§</w:t>
      </w:r>
      <w:r w:rsidR="00ED73A2" w:rsidRPr="00357DC2">
        <w:rPr>
          <w:lang w:val="fr-FR"/>
        </w:rPr>
        <w:t>§ 47-51</w:t>
      </w:r>
      <w:r w:rsidR="00F2043E" w:rsidRPr="00357DC2">
        <w:rPr>
          <w:lang w:val="fr-FR"/>
        </w:rPr>
        <w:t>. Se référant</w:t>
      </w:r>
      <w:r w:rsidR="00EF0E0E" w:rsidRPr="00357DC2">
        <w:rPr>
          <w:lang w:val="fr-FR"/>
        </w:rPr>
        <w:t xml:space="preserve"> à sa jurisprudence en la matière, elle a ainsi</w:t>
      </w:r>
      <w:r w:rsidR="00666806" w:rsidRPr="00357DC2">
        <w:rPr>
          <w:lang w:val="fr-FR"/>
        </w:rPr>
        <w:t xml:space="preserve"> </w:t>
      </w:r>
      <w:r w:rsidR="00F2043E" w:rsidRPr="00357DC2">
        <w:rPr>
          <w:lang w:val="fr-FR"/>
        </w:rPr>
        <w:t>résumé les principes généraux</w:t>
      </w:r>
      <w:r w:rsidR="00EF0E0E" w:rsidRPr="00357DC2">
        <w:rPr>
          <w:lang w:val="fr-FR"/>
        </w:rPr>
        <w:t> </w:t>
      </w:r>
      <w:r w:rsidR="00570841" w:rsidRPr="00357DC2">
        <w:rPr>
          <w:lang w:val="fr-FR"/>
        </w:rPr>
        <w:t>:</w:t>
      </w:r>
    </w:p>
    <w:p w:rsidR="00376982" w:rsidRPr="00357DC2" w:rsidRDefault="00376982" w:rsidP="00357DC2">
      <w:pPr>
        <w:pStyle w:val="ECHRParaQuote"/>
        <w:rPr>
          <w:lang w:val="fr-FR"/>
        </w:rPr>
      </w:pPr>
      <w:r w:rsidRPr="00357DC2">
        <w:rPr>
          <w:lang w:val="fr-FR"/>
        </w:rPr>
        <w:t>« 47.</w:t>
      </w:r>
      <w:r w:rsidR="00D93CA5" w:rsidRPr="00357DC2">
        <w:rPr>
          <w:lang w:val="fr-FR"/>
        </w:rPr>
        <w:t>  </w:t>
      </w:r>
      <w:r w:rsidRPr="00357DC2">
        <w:rPr>
          <w:lang w:val="fr-FR"/>
        </w:rPr>
        <w:t xml:space="preserve">La Cour rappelle que, dans les arrêts </w:t>
      </w:r>
      <w:r w:rsidRPr="00357DC2">
        <w:rPr>
          <w:i/>
          <w:lang w:val="fr-FR"/>
        </w:rPr>
        <w:t>Bochan c. Ukraine</w:t>
      </w:r>
      <w:r w:rsidR="00232AC3" w:rsidRPr="00357DC2">
        <w:rPr>
          <w:lang w:val="fr-FR"/>
        </w:rPr>
        <w:t xml:space="preserve"> </w:t>
      </w:r>
      <w:r w:rsidR="00232AC3" w:rsidRPr="00357DC2">
        <w:rPr>
          <w:i/>
          <w:lang w:val="fr-FR"/>
        </w:rPr>
        <w:t>(n</w:t>
      </w:r>
      <w:r w:rsidR="007A6B24" w:rsidRPr="00357DC2">
        <w:rPr>
          <w:i/>
          <w:vertAlign w:val="superscript"/>
          <w:lang w:val="fr-FR"/>
        </w:rPr>
        <w:t>o</w:t>
      </w:r>
      <w:r w:rsidR="00232AC3" w:rsidRPr="00357DC2">
        <w:rPr>
          <w:i/>
          <w:lang w:val="fr-FR"/>
        </w:rPr>
        <w:t xml:space="preserve"> 2)</w:t>
      </w:r>
      <w:r w:rsidR="00232AC3" w:rsidRPr="00357DC2">
        <w:rPr>
          <w:lang w:val="fr-FR"/>
        </w:rPr>
        <w:t xml:space="preserve"> [GC], n</w:t>
      </w:r>
      <w:r w:rsidR="007A6B24" w:rsidRPr="00357DC2">
        <w:rPr>
          <w:vertAlign w:val="superscript"/>
          <w:lang w:val="fr-FR"/>
        </w:rPr>
        <w:t>o</w:t>
      </w:r>
      <w:r w:rsidR="007E475A" w:rsidRPr="00357DC2">
        <w:rPr>
          <w:lang w:val="fr-FR"/>
        </w:rPr>
        <w:t> </w:t>
      </w:r>
      <w:r w:rsidRPr="00357DC2">
        <w:rPr>
          <w:lang w:val="fr-FR"/>
        </w:rPr>
        <w:t xml:space="preserve">22251/08, CEDH 2015, et </w:t>
      </w:r>
      <w:r w:rsidRPr="00357DC2">
        <w:rPr>
          <w:i/>
          <w:lang w:val="fr-FR"/>
        </w:rPr>
        <w:t>Verein gege</w:t>
      </w:r>
      <w:r w:rsidR="00971805" w:rsidRPr="00357DC2">
        <w:rPr>
          <w:i/>
          <w:lang w:val="fr-FR"/>
        </w:rPr>
        <w:t>n Tierfabriken Schweiz (VgT) c. </w:t>
      </w:r>
      <w:r w:rsidRPr="00357DC2">
        <w:rPr>
          <w:i/>
          <w:lang w:val="fr-FR"/>
        </w:rPr>
        <w:t>Suisse</w:t>
      </w:r>
      <w:r w:rsidR="00971805" w:rsidRPr="00357DC2">
        <w:rPr>
          <w:i/>
          <w:lang w:val="fr-FR"/>
        </w:rPr>
        <w:t> </w:t>
      </w:r>
      <w:r w:rsidR="00232AC3" w:rsidRPr="00357DC2">
        <w:rPr>
          <w:i/>
          <w:lang w:val="fr-FR"/>
        </w:rPr>
        <w:t>(n</w:t>
      </w:r>
      <w:r w:rsidR="007A6B24" w:rsidRPr="00357DC2">
        <w:rPr>
          <w:i/>
          <w:vertAlign w:val="superscript"/>
          <w:lang w:val="fr-FR"/>
        </w:rPr>
        <w:t>o</w:t>
      </w:r>
      <w:r w:rsidR="00971805" w:rsidRPr="00357DC2">
        <w:rPr>
          <w:i/>
          <w:lang w:val="fr-FR"/>
        </w:rPr>
        <w:t> </w:t>
      </w:r>
      <w:r w:rsidR="00232AC3" w:rsidRPr="00357DC2">
        <w:rPr>
          <w:i/>
          <w:lang w:val="fr-FR"/>
        </w:rPr>
        <w:t>2)</w:t>
      </w:r>
      <w:r w:rsidR="00232AC3" w:rsidRPr="00357DC2">
        <w:rPr>
          <w:lang w:val="fr-FR"/>
        </w:rPr>
        <w:t xml:space="preserve"> ([GC], n</w:t>
      </w:r>
      <w:r w:rsidR="007A6B24" w:rsidRPr="00357DC2">
        <w:rPr>
          <w:vertAlign w:val="superscript"/>
          <w:lang w:val="fr-FR"/>
        </w:rPr>
        <w:t>o</w:t>
      </w:r>
      <w:r w:rsidRPr="00357DC2">
        <w:rPr>
          <w:lang w:val="fr-FR"/>
        </w:rPr>
        <w:t xml:space="preserve"> 32772/02, CEDH 2009, ainsi que dans la décision </w:t>
      </w:r>
      <w:r w:rsidR="00971805" w:rsidRPr="00357DC2">
        <w:rPr>
          <w:i/>
          <w:lang w:val="fr-FR"/>
        </w:rPr>
        <w:t>Egmez c. </w:t>
      </w:r>
      <w:r w:rsidRPr="00357DC2">
        <w:rPr>
          <w:i/>
          <w:lang w:val="fr-FR"/>
        </w:rPr>
        <w:t>Chypre</w:t>
      </w:r>
      <w:r w:rsidRPr="00357DC2">
        <w:rPr>
          <w:lang w:val="fr-FR"/>
        </w:rPr>
        <w:t xml:space="preserve"> ((déc.), n</w:t>
      </w:r>
      <w:r w:rsidR="007A6B24" w:rsidRPr="00357DC2">
        <w:rPr>
          <w:vertAlign w:val="superscript"/>
          <w:lang w:val="fr-FR"/>
        </w:rPr>
        <w:t>o</w:t>
      </w:r>
      <w:r w:rsidRPr="00357DC2">
        <w:rPr>
          <w:lang w:val="fr-FR"/>
        </w:rPr>
        <w:t xml:space="preserve"> 12214/07, §§ 48-56, 18 septembre 2012, elle a examiné la question de la compétence de la Cour eu égard aux prérogatives de l</w:t>
      </w:r>
      <w:r w:rsidR="00357DC2" w:rsidRPr="00357DC2">
        <w:rPr>
          <w:lang w:val="fr-FR"/>
        </w:rPr>
        <w:t>’</w:t>
      </w:r>
      <w:r w:rsidRPr="00357DC2">
        <w:rPr>
          <w:lang w:val="fr-FR"/>
        </w:rPr>
        <w:t>État défendeur et du Comité des Ministres découlant de l</w:t>
      </w:r>
      <w:r w:rsidR="00357DC2" w:rsidRPr="00357DC2">
        <w:rPr>
          <w:lang w:val="fr-FR"/>
        </w:rPr>
        <w:t>’</w:t>
      </w:r>
      <w:r w:rsidRPr="00357DC2">
        <w:rPr>
          <w:lang w:val="fr-FR"/>
        </w:rPr>
        <w:t>article 46 de la Convention. Les principes posés par la Cour dans ces arrêts et cette décision peuvent se résumer comme suit</w:t>
      </w:r>
      <w:r w:rsidR="00D93CA5" w:rsidRPr="00357DC2">
        <w:rPr>
          <w:lang w:val="fr-FR"/>
        </w:rPr>
        <w:t> :</w:t>
      </w:r>
    </w:p>
    <w:p w:rsidR="00125CD3" w:rsidRPr="00357DC2" w:rsidRDefault="00125CD3" w:rsidP="00357DC2">
      <w:pPr>
        <w:pStyle w:val="ECHRParaQuote"/>
        <w:rPr>
          <w:lang w:val="fr-FR"/>
        </w:rPr>
      </w:pPr>
      <w:r w:rsidRPr="00357DC2">
        <w:rPr>
          <w:lang w:val="fr-FR"/>
        </w:rPr>
        <w:t>a)</w:t>
      </w:r>
      <w:r w:rsidR="00D93CA5" w:rsidRPr="00357DC2">
        <w:rPr>
          <w:lang w:val="fr-FR"/>
        </w:rPr>
        <w:t>  </w:t>
      </w:r>
      <w:r w:rsidRPr="00357DC2">
        <w:rPr>
          <w:lang w:val="fr-FR"/>
        </w:rPr>
        <w:t>Un constat de violation dans ses arrêts est essentiellement déclaratoire et, par l</w:t>
      </w:r>
      <w:r w:rsidR="00357DC2" w:rsidRPr="00357DC2">
        <w:rPr>
          <w:lang w:val="fr-FR"/>
        </w:rPr>
        <w:t>’</w:t>
      </w:r>
      <w:r w:rsidRPr="00357DC2">
        <w:rPr>
          <w:lang w:val="fr-FR"/>
        </w:rPr>
        <w:t>article 46 de la Convention, les Hautes Parties contractantes se sont engagées à se conformer aux arrêts de la Cour dans les litiges auxquels elles sont parties, le Comité des Ministres étant chargé d</w:t>
      </w:r>
      <w:r w:rsidR="00357DC2" w:rsidRPr="00357DC2">
        <w:rPr>
          <w:lang w:val="fr-FR"/>
        </w:rPr>
        <w:t>’</w:t>
      </w:r>
      <w:r w:rsidRPr="00357DC2">
        <w:rPr>
          <w:lang w:val="fr-FR"/>
        </w:rPr>
        <w:t>en surveiller l</w:t>
      </w:r>
      <w:r w:rsidR="00357DC2" w:rsidRPr="00357DC2">
        <w:rPr>
          <w:lang w:val="fr-FR"/>
        </w:rPr>
        <w:t>’</w:t>
      </w:r>
      <w:r w:rsidRPr="00357DC2">
        <w:rPr>
          <w:lang w:val="fr-FR"/>
        </w:rPr>
        <w:t>exécution (</w:t>
      </w:r>
      <w:r w:rsidRPr="00357DC2">
        <w:rPr>
          <w:i/>
          <w:lang w:val="fr-FR"/>
        </w:rPr>
        <w:t>Verein gegen Tierfabriken Schweiz (VgT) (n</w:t>
      </w:r>
      <w:r w:rsidR="007A6B24" w:rsidRPr="00357DC2">
        <w:rPr>
          <w:i/>
          <w:vertAlign w:val="superscript"/>
          <w:lang w:val="fr-FR"/>
        </w:rPr>
        <w:t>o</w:t>
      </w:r>
      <w:r w:rsidRPr="00357DC2">
        <w:rPr>
          <w:i/>
          <w:lang w:val="fr-FR"/>
        </w:rPr>
        <w:t xml:space="preserve"> 2)</w:t>
      </w:r>
      <w:r w:rsidRPr="00357DC2">
        <w:rPr>
          <w:lang w:val="fr-FR"/>
        </w:rPr>
        <w:t>, précité, § 61).</w:t>
      </w:r>
    </w:p>
    <w:p w:rsidR="00125CD3" w:rsidRPr="00357DC2" w:rsidRDefault="00125CD3" w:rsidP="00357DC2">
      <w:pPr>
        <w:pStyle w:val="ECHRParaQuote"/>
        <w:rPr>
          <w:lang w:val="fr-FR"/>
        </w:rPr>
      </w:pPr>
      <w:r w:rsidRPr="00357DC2">
        <w:rPr>
          <w:lang w:val="fr-FR"/>
        </w:rPr>
        <w:t>b)</w:t>
      </w:r>
      <w:r w:rsidR="00D93CA5" w:rsidRPr="00357DC2">
        <w:rPr>
          <w:lang w:val="fr-FR"/>
        </w:rPr>
        <w:t>  </w:t>
      </w:r>
      <w:r w:rsidRPr="00357DC2">
        <w:rPr>
          <w:lang w:val="fr-FR"/>
        </w:rPr>
        <w:t>Le rôle du Comité des Ministres dans ce domaine ne signifie pas pour autant que les mesures prises par un État défendeur en vue de remédier à la violation constatée par la Cour ne puissent pas soulever un problème nouveau, non tranché par l</w:t>
      </w:r>
      <w:r w:rsidR="00357DC2" w:rsidRPr="00357DC2">
        <w:rPr>
          <w:lang w:val="fr-FR"/>
        </w:rPr>
        <w:t>’</w:t>
      </w:r>
      <w:r w:rsidRPr="00357DC2">
        <w:rPr>
          <w:lang w:val="fr-FR"/>
        </w:rPr>
        <w:t>arrêt et, dès lors, faire l</w:t>
      </w:r>
      <w:r w:rsidR="00357DC2" w:rsidRPr="00357DC2">
        <w:rPr>
          <w:lang w:val="fr-FR"/>
        </w:rPr>
        <w:t>’</w:t>
      </w:r>
      <w:r w:rsidRPr="00357DC2">
        <w:rPr>
          <w:lang w:val="fr-FR"/>
        </w:rPr>
        <w:t>objet d</w:t>
      </w:r>
      <w:r w:rsidR="00357DC2" w:rsidRPr="00357DC2">
        <w:rPr>
          <w:lang w:val="fr-FR"/>
        </w:rPr>
        <w:t>’</w:t>
      </w:r>
      <w:r w:rsidRPr="00357DC2">
        <w:rPr>
          <w:lang w:val="fr-FR"/>
        </w:rPr>
        <w:t>une nouvelle requête dont la Cour pourrait avoir à connaître. En d</w:t>
      </w:r>
      <w:r w:rsidR="00357DC2" w:rsidRPr="00357DC2">
        <w:rPr>
          <w:lang w:val="fr-FR"/>
        </w:rPr>
        <w:t>’</w:t>
      </w:r>
      <w:r w:rsidRPr="00357DC2">
        <w:rPr>
          <w:lang w:val="fr-FR"/>
        </w:rPr>
        <w:t>autres termes, la Cour peut accueillir un grief selon lequel la réouverture d</w:t>
      </w:r>
      <w:r w:rsidR="00357DC2" w:rsidRPr="00357DC2">
        <w:rPr>
          <w:lang w:val="fr-FR"/>
        </w:rPr>
        <w:t>’</w:t>
      </w:r>
      <w:r w:rsidRPr="00357DC2">
        <w:rPr>
          <w:lang w:val="fr-FR"/>
        </w:rPr>
        <w:t>une procédure au niveau interne, en vue d</w:t>
      </w:r>
      <w:r w:rsidR="00357DC2" w:rsidRPr="00357DC2">
        <w:rPr>
          <w:lang w:val="fr-FR"/>
        </w:rPr>
        <w:t>’</w:t>
      </w:r>
      <w:r w:rsidRPr="00357DC2">
        <w:rPr>
          <w:lang w:val="fr-FR"/>
        </w:rPr>
        <w:t>exécuter l</w:t>
      </w:r>
      <w:r w:rsidR="00357DC2" w:rsidRPr="00357DC2">
        <w:rPr>
          <w:lang w:val="fr-FR"/>
        </w:rPr>
        <w:t>’</w:t>
      </w:r>
      <w:r w:rsidRPr="00357DC2">
        <w:rPr>
          <w:lang w:val="fr-FR"/>
        </w:rPr>
        <w:t>un de ses arrêts, a donné lieu à une nouvelle violation de la Convention (</w:t>
      </w:r>
      <w:r w:rsidRPr="00357DC2">
        <w:rPr>
          <w:i/>
          <w:lang w:val="fr-FR"/>
        </w:rPr>
        <w:t>ibid</w:t>
      </w:r>
      <w:r w:rsidRPr="00357DC2">
        <w:rPr>
          <w:lang w:val="fr-FR"/>
        </w:rPr>
        <w:t xml:space="preserve">., § 62, </w:t>
      </w:r>
      <w:r w:rsidR="00232AC3" w:rsidRPr="00357DC2">
        <w:rPr>
          <w:i/>
          <w:lang w:val="fr-FR"/>
        </w:rPr>
        <w:t>Bochan</w:t>
      </w:r>
      <w:r w:rsidR="00971805" w:rsidRPr="00357DC2">
        <w:rPr>
          <w:i/>
          <w:lang w:val="fr-FR"/>
        </w:rPr>
        <w:t> </w:t>
      </w:r>
      <w:r w:rsidR="00232AC3" w:rsidRPr="00357DC2">
        <w:rPr>
          <w:i/>
          <w:lang w:val="fr-FR"/>
        </w:rPr>
        <w:t>(n</w:t>
      </w:r>
      <w:r w:rsidR="007A6B24" w:rsidRPr="00357DC2">
        <w:rPr>
          <w:i/>
          <w:vertAlign w:val="superscript"/>
          <w:lang w:val="fr-FR"/>
        </w:rPr>
        <w:t>o</w:t>
      </w:r>
      <w:r w:rsidR="00971805" w:rsidRPr="00357DC2">
        <w:rPr>
          <w:i/>
          <w:vertAlign w:val="superscript"/>
          <w:lang w:val="fr-FR"/>
        </w:rPr>
        <w:t> </w:t>
      </w:r>
      <w:r w:rsidR="00232AC3" w:rsidRPr="00357DC2">
        <w:rPr>
          <w:i/>
          <w:lang w:val="fr-FR"/>
        </w:rPr>
        <w:t>2)</w:t>
      </w:r>
      <w:r w:rsidR="00232AC3" w:rsidRPr="00357DC2">
        <w:rPr>
          <w:lang w:val="fr-FR"/>
        </w:rPr>
        <w:t>,</w:t>
      </w:r>
      <w:r w:rsidRPr="00357DC2">
        <w:rPr>
          <w:lang w:val="fr-FR"/>
        </w:rPr>
        <w:t xml:space="preserve"> précité, § 33, et </w:t>
      </w:r>
      <w:r w:rsidRPr="00357DC2">
        <w:rPr>
          <w:i/>
          <w:lang w:val="fr-FR"/>
        </w:rPr>
        <w:t>Egmez</w:t>
      </w:r>
      <w:r w:rsidRPr="00357DC2">
        <w:rPr>
          <w:lang w:val="fr-FR"/>
        </w:rPr>
        <w:t>, décision précitée, § 51).</w:t>
      </w:r>
    </w:p>
    <w:p w:rsidR="00125CD3" w:rsidRPr="00357DC2" w:rsidRDefault="00125CD3" w:rsidP="00357DC2">
      <w:pPr>
        <w:pStyle w:val="ECHRParaQuote"/>
        <w:rPr>
          <w:lang w:val="fr-FR"/>
        </w:rPr>
      </w:pPr>
      <w:r w:rsidRPr="00357DC2">
        <w:rPr>
          <w:lang w:val="fr-FR"/>
        </w:rPr>
        <w:t>c)</w:t>
      </w:r>
      <w:r w:rsidR="00D93CA5" w:rsidRPr="00357DC2">
        <w:rPr>
          <w:lang w:val="fr-FR"/>
        </w:rPr>
        <w:t>  </w:t>
      </w:r>
      <w:r w:rsidRPr="00357DC2">
        <w:rPr>
          <w:lang w:val="fr-FR"/>
        </w:rPr>
        <w:t>Sur ce fondement, la Cour s</w:t>
      </w:r>
      <w:r w:rsidR="00357DC2" w:rsidRPr="00357DC2">
        <w:rPr>
          <w:lang w:val="fr-FR"/>
        </w:rPr>
        <w:t>’</w:t>
      </w:r>
      <w:r w:rsidRPr="00357DC2">
        <w:rPr>
          <w:lang w:val="fr-FR"/>
        </w:rPr>
        <w:t>est dite compétente pour connaître de griefs formulés dans un certain nombre d</w:t>
      </w:r>
      <w:r w:rsidR="00357DC2" w:rsidRPr="00357DC2">
        <w:rPr>
          <w:lang w:val="fr-FR"/>
        </w:rPr>
        <w:t>’</w:t>
      </w:r>
      <w:r w:rsidRPr="00357DC2">
        <w:rPr>
          <w:lang w:val="fr-FR"/>
        </w:rPr>
        <w:t>affaires faisant suite à des arrêts rendus par elle, par exemple lorsque les autorités internes avaient procédé à un réexamen du dossier dans le cadre de l</w:t>
      </w:r>
      <w:r w:rsidR="00357DC2" w:rsidRPr="00357DC2">
        <w:rPr>
          <w:lang w:val="fr-FR"/>
        </w:rPr>
        <w:t>’</w:t>
      </w:r>
      <w:r w:rsidRPr="00357DC2">
        <w:rPr>
          <w:lang w:val="fr-FR"/>
        </w:rPr>
        <w:t>exécution de l</w:t>
      </w:r>
      <w:r w:rsidR="00357DC2" w:rsidRPr="00357DC2">
        <w:rPr>
          <w:lang w:val="fr-FR"/>
        </w:rPr>
        <w:t>’</w:t>
      </w:r>
      <w:r w:rsidRPr="00357DC2">
        <w:rPr>
          <w:lang w:val="fr-FR"/>
        </w:rPr>
        <w:t>un de ses arrêts, que ce soit par la réouverture de l</w:t>
      </w:r>
      <w:r w:rsidR="00357DC2" w:rsidRPr="00357DC2">
        <w:rPr>
          <w:lang w:val="fr-FR"/>
        </w:rPr>
        <w:t>’</w:t>
      </w:r>
      <w:r w:rsidRPr="00357DC2">
        <w:rPr>
          <w:lang w:val="fr-FR"/>
        </w:rPr>
        <w:t>instance ou par la conduite d</w:t>
      </w:r>
      <w:r w:rsidR="00357DC2" w:rsidRPr="00357DC2">
        <w:rPr>
          <w:lang w:val="fr-FR"/>
        </w:rPr>
        <w:t>’</w:t>
      </w:r>
      <w:r w:rsidRPr="00357DC2">
        <w:rPr>
          <w:lang w:val="fr-FR"/>
        </w:rPr>
        <w:t>un tout nouveau procès (</w:t>
      </w:r>
      <w:r w:rsidRPr="00357DC2">
        <w:rPr>
          <w:i/>
          <w:lang w:val="fr-FR"/>
        </w:rPr>
        <w:t>Egmez</w:t>
      </w:r>
      <w:r w:rsidRPr="00357DC2">
        <w:rPr>
          <w:lang w:val="fr-FR"/>
        </w:rPr>
        <w:t xml:space="preserve">, </w:t>
      </w:r>
      <w:r w:rsidR="0062244A" w:rsidRPr="00357DC2">
        <w:rPr>
          <w:lang w:val="fr-FR"/>
        </w:rPr>
        <w:t xml:space="preserve">décision </w:t>
      </w:r>
      <w:r w:rsidRPr="00357DC2">
        <w:rPr>
          <w:lang w:val="fr-FR"/>
        </w:rPr>
        <w:t>précitée, §</w:t>
      </w:r>
      <w:r w:rsidR="00971805" w:rsidRPr="00357DC2">
        <w:rPr>
          <w:lang w:val="fr-FR"/>
        </w:rPr>
        <w:t> </w:t>
      </w:r>
      <w:r w:rsidRPr="00357DC2">
        <w:rPr>
          <w:lang w:val="fr-FR"/>
        </w:rPr>
        <w:t>52, et les références cité</w:t>
      </w:r>
      <w:r w:rsidR="0062244A" w:rsidRPr="00357DC2">
        <w:rPr>
          <w:lang w:val="fr-FR"/>
        </w:rPr>
        <w:t>e</w:t>
      </w:r>
      <w:r w:rsidRPr="00357DC2">
        <w:rPr>
          <w:lang w:val="fr-FR"/>
        </w:rPr>
        <w:t>s).</w:t>
      </w:r>
    </w:p>
    <w:p w:rsidR="00125CD3" w:rsidRPr="00357DC2" w:rsidRDefault="00125CD3" w:rsidP="00357DC2">
      <w:pPr>
        <w:pStyle w:val="ECHRParaQuote"/>
        <w:rPr>
          <w:lang w:val="fr-FR"/>
        </w:rPr>
      </w:pPr>
      <w:r w:rsidRPr="00357DC2">
        <w:rPr>
          <w:lang w:val="fr-FR"/>
        </w:rPr>
        <w:t>d)</w:t>
      </w:r>
      <w:r w:rsidR="00D93CA5" w:rsidRPr="00357DC2">
        <w:rPr>
          <w:lang w:val="fr-FR"/>
        </w:rPr>
        <w:t>  </w:t>
      </w:r>
      <w:r w:rsidRPr="00357DC2">
        <w:rPr>
          <w:lang w:val="fr-FR"/>
        </w:rPr>
        <w:t>Il ressort de la jurisprudence de la Cour que le constat de l</w:t>
      </w:r>
      <w:r w:rsidR="00357DC2" w:rsidRPr="00357DC2">
        <w:rPr>
          <w:lang w:val="fr-FR"/>
        </w:rPr>
        <w:t>’</w:t>
      </w:r>
      <w:r w:rsidRPr="00357DC2">
        <w:rPr>
          <w:lang w:val="fr-FR"/>
        </w:rPr>
        <w:t>existence d</w:t>
      </w:r>
      <w:r w:rsidR="00357DC2" w:rsidRPr="00357DC2">
        <w:rPr>
          <w:lang w:val="fr-FR"/>
        </w:rPr>
        <w:t>’</w:t>
      </w:r>
      <w:r w:rsidRPr="00357DC2">
        <w:rPr>
          <w:lang w:val="fr-FR"/>
        </w:rPr>
        <w:t>un « problème nouveau » dépend dans une large mesure des circonstances particulières de l</w:t>
      </w:r>
      <w:r w:rsidR="00357DC2" w:rsidRPr="00357DC2">
        <w:rPr>
          <w:lang w:val="fr-FR"/>
        </w:rPr>
        <w:t>’</w:t>
      </w:r>
      <w:r w:rsidRPr="00357DC2">
        <w:rPr>
          <w:lang w:val="fr-FR"/>
        </w:rPr>
        <w:t>affaire et que la distinction n</w:t>
      </w:r>
      <w:r w:rsidR="00357DC2" w:rsidRPr="00357DC2">
        <w:rPr>
          <w:lang w:val="fr-FR"/>
        </w:rPr>
        <w:t>’</w:t>
      </w:r>
      <w:r w:rsidRPr="00357DC2">
        <w:rPr>
          <w:lang w:val="fr-FR"/>
        </w:rPr>
        <w:t>est pas toujours nette (</w:t>
      </w:r>
      <w:r w:rsidRPr="00357DC2">
        <w:rPr>
          <w:i/>
          <w:lang w:val="fr-FR"/>
        </w:rPr>
        <w:t>Bochan (n</w:t>
      </w:r>
      <w:r w:rsidRPr="00357DC2">
        <w:rPr>
          <w:i/>
          <w:vertAlign w:val="superscript"/>
          <w:lang w:val="fr-FR"/>
        </w:rPr>
        <w:t>o</w:t>
      </w:r>
      <w:r w:rsidRPr="00357DC2">
        <w:rPr>
          <w:i/>
          <w:lang w:val="fr-FR"/>
        </w:rPr>
        <w:t xml:space="preserve"> 2)</w:t>
      </w:r>
      <w:r w:rsidRPr="00357DC2">
        <w:rPr>
          <w:lang w:val="fr-FR"/>
        </w:rPr>
        <w:t>, précité, §</w:t>
      </w:r>
      <w:r w:rsidR="00601F13" w:rsidRPr="00357DC2">
        <w:rPr>
          <w:lang w:val="fr-FR"/>
        </w:rPr>
        <w:t> </w:t>
      </w:r>
      <w:r w:rsidRPr="00357DC2">
        <w:rPr>
          <w:lang w:val="fr-FR"/>
        </w:rPr>
        <w:t>34 et, pour l</w:t>
      </w:r>
      <w:r w:rsidR="00357DC2" w:rsidRPr="00357DC2">
        <w:rPr>
          <w:lang w:val="fr-FR"/>
        </w:rPr>
        <w:t>’</w:t>
      </w:r>
      <w:r w:rsidRPr="00357DC2">
        <w:rPr>
          <w:lang w:val="fr-FR"/>
        </w:rPr>
        <w:t xml:space="preserve">examen de cette jurisprudence, décision </w:t>
      </w:r>
      <w:r w:rsidRPr="00357DC2">
        <w:rPr>
          <w:i/>
          <w:lang w:val="fr-FR"/>
        </w:rPr>
        <w:t>Egmez</w:t>
      </w:r>
      <w:r w:rsidRPr="00357DC2">
        <w:rPr>
          <w:lang w:val="fr-FR"/>
        </w:rPr>
        <w:t xml:space="preserve"> précitée, § 54). Il n</w:t>
      </w:r>
      <w:r w:rsidR="00357DC2" w:rsidRPr="00357DC2">
        <w:rPr>
          <w:lang w:val="fr-FR"/>
        </w:rPr>
        <w:t>’</w:t>
      </w:r>
      <w:r w:rsidRPr="00357DC2">
        <w:rPr>
          <w:lang w:val="fr-FR"/>
        </w:rPr>
        <w:t>y a pas empi</w:t>
      </w:r>
      <w:r w:rsidR="00101528" w:rsidRPr="00357DC2">
        <w:rPr>
          <w:lang w:val="fr-FR"/>
        </w:rPr>
        <w:t>é</w:t>
      </w:r>
      <w:r w:rsidRPr="00357DC2">
        <w:rPr>
          <w:lang w:val="fr-FR"/>
        </w:rPr>
        <w:t>tement sur les compétences que le Comité des Ministres tire de l</w:t>
      </w:r>
      <w:r w:rsidR="00357DC2" w:rsidRPr="00357DC2">
        <w:rPr>
          <w:lang w:val="fr-FR"/>
        </w:rPr>
        <w:t>’</w:t>
      </w:r>
      <w:r w:rsidR="00601F13" w:rsidRPr="00357DC2">
        <w:rPr>
          <w:lang w:val="fr-FR"/>
        </w:rPr>
        <w:t>article </w:t>
      </w:r>
      <w:r w:rsidRPr="00357DC2">
        <w:rPr>
          <w:lang w:val="fr-FR"/>
        </w:rPr>
        <w:t>46 – surveiller l</w:t>
      </w:r>
      <w:r w:rsidR="00357DC2" w:rsidRPr="00357DC2">
        <w:rPr>
          <w:lang w:val="fr-FR"/>
        </w:rPr>
        <w:t>’</w:t>
      </w:r>
      <w:r w:rsidRPr="00357DC2">
        <w:rPr>
          <w:lang w:val="fr-FR"/>
        </w:rPr>
        <w:t>exécution des arrêts de la Cour et apprécier la mise en œuvre des mesures prises par les États au titre de cet article – là où la Cour connaît de faits nouveaux dans le cadre d</w:t>
      </w:r>
      <w:r w:rsidR="00357DC2" w:rsidRPr="00357DC2">
        <w:rPr>
          <w:lang w:val="fr-FR"/>
        </w:rPr>
        <w:t>’</w:t>
      </w:r>
      <w:r w:rsidRPr="00357DC2">
        <w:rPr>
          <w:lang w:val="fr-FR"/>
        </w:rPr>
        <w:t>une nouvelle requête (</w:t>
      </w:r>
      <w:r w:rsidRPr="00357DC2">
        <w:rPr>
          <w:i/>
          <w:lang w:val="fr-FR"/>
        </w:rPr>
        <w:t>Verein gegen Tierfabriken Schweiz (VgT)</w:t>
      </w:r>
      <w:r w:rsidRPr="00357DC2">
        <w:rPr>
          <w:lang w:val="fr-FR"/>
        </w:rPr>
        <w:t xml:space="preserve"> </w:t>
      </w:r>
      <w:r w:rsidRPr="00357DC2">
        <w:rPr>
          <w:i/>
          <w:lang w:val="fr-FR"/>
        </w:rPr>
        <w:t>(n</w:t>
      </w:r>
      <w:r w:rsidRPr="00357DC2">
        <w:rPr>
          <w:i/>
          <w:vertAlign w:val="superscript"/>
          <w:lang w:val="fr-FR"/>
        </w:rPr>
        <w:t>o</w:t>
      </w:r>
      <w:r w:rsidRPr="00357DC2">
        <w:rPr>
          <w:i/>
          <w:lang w:val="fr-FR"/>
        </w:rPr>
        <w:t xml:space="preserve"> 2)</w:t>
      </w:r>
      <w:r w:rsidRPr="00357DC2">
        <w:rPr>
          <w:lang w:val="fr-FR"/>
        </w:rPr>
        <w:t>, précité, § 67).</w:t>
      </w:r>
    </w:p>
    <w:p w:rsidR="00125CD3" w:rsidRPr="00357DC2" w:rsidRDefault="00125CD3" w:rsidP="00357DC2">
      <w:pPr>
        <w:pStyle w:val="ECHRParaQuote"/>
        <w:rPr>
          <w:lang w:val="fr-FR"/>
        </w:rPr>
      </w:pPr>
      <w:r w:rsidRPr="00357DC2">
        <w:rPr>
          <w:lang w:val="fr-FR"/>
        </w:rPr>
        <w:t>48.</w:t>
      </w:r>
      <w:r w:rsidR="00D93CA5" w:rsidRPr="00357DC2">
        <w:rPr>
          <w:lang w:val="fr-FR"/>
        </w:rPr>
        <w:t>  </w:t>
      </w:r>
      <w:r w:rsidRPr="00357DC2">
        <w:rPr>
          <w:lang w:val="fr-FR"/>
        </w:rPr>
        <w:t>La Cour rappelle qu</w:t>
      </w:r>
      <w:r w:rsidR="00357DC2" w:rsidRPr="00357DC2">
        <w:rPr>
          <w:lang w:val="fr-FR"/>
        </w:rPr>
        <w:t>’</w:t>
      </w:r>
      <w:r w:rsidRPr="00357DC2">
        <w:rPr>
          <w:lang w:val="fr-FR"/>
        </w:rPr>
        <w:t>elle n</w:t>
      </w:r>
      <w:r w:rsidR="00357DC2" w:rsidRPr="00357DC2">
        <w:rPr>
          <w:lang w:val="fr-FR"/>
        </w:rPr>
        <w:t>’</w:t>
      </w:r>
      <w:r w:rsidRPr="00357DC2">
        <w:rPr>
          <w:lang w:val="fr-FR"/>
        </w:rPr>
        <w:t>a pas compétence pour ordonner, en particulier, la réouverture d</w:t>
      </w:r>
      <w:r w:rsidR="00357DC2" w:rsidRPr="00357DC2">
        <w:rPr>
          <w:lang w:val="fr-FR"/>
        </w:rPr>
        <w:t>’</w:t>
      </w:r>
      <w:r w:rsidRPr="00357DC2">
        <w:rPr>
          <w:lang w:val="fr-FR"/>
        </w:rPr>
        <w:t>une procédure (</w:t>
      </w:r>
      <w:r w:rsidRPr="00357DC2">
        <w:rPr>
          <w:i/>
          <w:lang w:val="fr-FR"/>
        </w:rPr>
        <w:t>ibid</w:t>
      </w:r>
      <w:r w:rsidRPr="00357DC2">
        <w:rPr>
          <w:lang w:val="fr-FR"/>
        </w:rPr>
        <w:t>., § 89). Toutefois, ainsi qu</w:t>
      </w:r>
      <w:r w:rsidR="00357DC2" w:rsidRPr="00357DC2">
        <w:rPr>
          <w:lang w:val="fr-FR"/>
        </w:rPr>
        <w:t>’</w:t>
      </w:r>
      <w:r w:rsidRPr="00357DC2">
        <w:rPr>
          <w:lang w:val="fr-FR"/>
        </w:rPr>
        <w:t xml:space="preserve">il ressort de la recommandation </w:t>
      </w:r>
      <w:r w:rsidR="00666806" w:rsidRPr="00357DC2">
        <w:rPr>
          <w:lang w:val="fr-FR"/>
        </w:rPr>
        <w:t>n</w:t>
      </w:r>
      <w:r w:rsidRPr="00357DC2">
        <w:rPr>
          <w:vertAlign w:val="superscript"/>
          <w:lang w:val="fr-FR"/>
        </w:rPr>
        <w:t>o</w:t>
      </w:r>
      <w:r w:rsidRPr="00357DC2">
        <w:rPr>
          <w:lang w:val="fr-FR"/>
        </w:rPr>
        <w:t xml:space="preserve"> R (2000) 2 du Comité des Ministres, il se dégage de la pratique relative au contrôle de l</w:t>
      </w:r>
      <w:r w:rsidR="00357DC2" w:rsidRPr="00357DC2">
        <w:rPr>
          <w:lang w:val="fr-FR"/>
        </w:rPr>
        <w:t>’</w:t>
      </w:r>
      <w:r w:rsidRPr="00357DC2">
        <w:rPr>
          <w:lang w:val="fr-FR"/>
        </w:rPr>
        <w:t>exécution des arrêts de la Cour qu</w:t>
      </w:r>
      <w:r w:rsidR="00357DC2" w:rsidRPr="00357DC2">
        <w:rPr>
          <w:lang w:val="fr-FR"/>
        </w:rPr>
        <w:t>’</w:t>
      </w:r>
      <w:r w:rsidRPr="00357DC2">
        <w:rPr>
          <w:lang w:val="fr-FR"/>
        </w:rPr>
        <w:t>il existe des circonstances exceptionnelles dans lesquelles le réexamen d</w:t>
      </w:r>
      <w:r w:rsidR="00357DC2" w:rsidRPr="00357DC2">
        <w:rPr>
          <w:lang w:val="fr-FR"/>
        </w:rPr>
        <w:t>’</w:t>
      </w:r>
      <w:r w:rsidRPr="00357DC2">
        <w:rPr>
          <w:lang w:val="fr-FR"/>
        </w:rPr>
        <w:t xml:space="preserve">une affaire ou la réouverture des </w:t>
      </w:r>
      <w:r w:rsidRPr="00357DC2">
        <w:rPr>
          <w:lang w:val="fr-FR"/>
        </w:rPr>
        <w:lastRenderedPageBreak/>
        <w:t xml:space="preserve">procédures se révèle être le moyen le plus efficace, voire le seul, de réaliser la </w:t>
      </w:r>
      <w:r w:rsidRPr="00357DC2">
        <w:rPr>
          <w:i/>
          <w:lang w:val="fr-FR"/>
        </w:rPr>
        <w:t>restitutio in integrum</w:t>
      </w:r>
      <w:r w:rsidRPr="00357DC2">
        <w:rPr>
          <w:lang w:val="fr-FR"/>
        </w:rPr>
        <w:t>, à savoir le rétablissement de la partie lésée, dans la mesure du possible, dans la situation où elle se trouvait avant la violation de la Convention. Parmi les affaires concernées par des constats de violation formulés par la Cour, celles qui nécessitent particulièrement le réexamen ou la réouverture concernent, d</w:t>
      </w:r>
      <w:r w:rsidR="00357DC2" w:rsidRPr="00357DC2">
        <w:rPr>
          <w:lang w:val="fr-FR"/>
        </w:rPr>
        <w:t>’</w:t>
      </w:r>
      <w:r w:rsidRPr="00357DC2">
        <w:rPr>
          <w:lang w:val="fr-FR"/>
        </w:rPr>
        <w:t>après l</w:t>
      </w:r>
      <w:r w:rsidR="00357DC2" w:rsidRPr="00357DC2">
        <w:rPr>
          <w:lang w:val="fr-FR"/>
        </w:rPr>
        <w:t>’</w:t>
      </w:r>
      <w:r w:rsidRPr="00357DC2">
        <w:rPr>
          <w:lang w:val="fr-FR"/>
        </w:rPr>
        <w:t>exposé des motifs de la recommandation, le domaine du droit pénal (paragraphes 32 et 33 ci-dessus).</w:t>
      </w:r>
    </w:p>
    <w:p w:rsidR="00125CD3" w:rsidRPr="00357DC2" w:rsidRDefault="00125CD3" w:rsidP="00357DC2">
      <w:pPr>
        <w:pStyle w:val="ECHRParaQuote"/>
        <w:rPr>
          <w:lang w:val="fr-FR"/>
        </w:rPr>
      </w:pPr>
      <w:r w:rsidRPr="00357DC2">
        <w:rPr>
          <w:lang w:val="fr-FR"/>
        </w:rPr>
        <w:t>49.</w:t>
      </w:r>
      <w:r w:rsidR="00D93CA5" w:rsidRPr="00357DC2">
        <w:rPr>
          <w:lang w:val="fr-FR"/>
        </w:rPr>
        <w:t>  </w:t>
      </w:r>
      <w:r w:rsidRPr="00357DC2">
        <w:rPr>
          <w:lang w:val="fr-FR"/>
        </w:rPr>
        <w:t>Ainsi, s</w:t>
      </w:r>
      <w:r w:rsidR="00357DC2" w:rsidRPr="00357DC2">
        <w:rPr>
          <w:lang w:val="fr-FR"/>
        </w:rPr>
        <w:t>’</w:t>
      </w:r>
      <w:r w:rsidRPr="00357DC2">
        <w:rPr>
          <w:lang w:val="fr-FR"/>
        </w:rPr>
        <w:t>agissant de la réouverture d</w:t>
      </w:r>
      <w:r w:rsidR="00357DC2" w:rsidRPr="00357DC2">
        <w:rPr>
          <w:lang w:val="fr-FR"/>
        </w:rPr>
        <w:t>’</w:t>
      </w:r>
      <w:r w:rsidRPr="00357DC2">
        <w:rPr>
          <w:lang w:val="fr-FR"/>
        </w:rPr>
        <w:t>une procédure, il est clair que la Cour n</w:t>
      </w:r>
      <w:r w:rsidR="00357DC2" w:rsidRPr="00357DC2">
        <w:rPr>
          <w:lang w:val="fr-FR"/>
        </w:rPr>
        <w:t>’</w:t>
      </w:r>
      <w:r w:rsidRPr="00357DC2">
        <w:rPr>
          <w:lang w:val="fr-FR"/>
        </w:rPr>
        <w:t>a pas compétence pour ordonner pareille mesure. Toutefois, lorsqu</w:t>
      </w:r>
      <w:r w:rsidR="00357DC2" w:rsidRPr="00357DC2">
        <w:rPr>
          <w:lang w:val="fr-FR"/>
        </w:rPr>
        <w:t>’</w:t>
      </w:r>
      <w:r w:rsidRPr="00357DC2">
        <w:rPr>
          <w:lang w:val="fr-FR"/>
        </w:rPr>
        <w:t>un particulier a été condamné à l</w:t>
      </w:r>
      <w:r w:rsidR="00357DC2" w:rsidRPr="00357DC2">
        <w:rPr>
          <w:lang w:val="fr-FR"/>
        </w:rPr>
        <w:t>’</w:t>
      </w:r>
      <w:r w:rsidRPr="00357DC2">
        <w:rPr>
          <w:lang w:val="fr-FR"/>
        </w:rPr>
        <w:t>issue d</w:t>
      </w:r>
      <w:r w:rsidR="00357DC2" w:rsidRPr="00357DC2">
        <w:rPr>
          <w:lang w:val="fr-FR"/>
        </w:rPr>
        <w:t>’</w:t>
      </w:r>
      <w:r w:rsidRPr="00357DC2">
        <w:rPr>
          <w:lang w:val="fr-FR"/>
        </w:rPr>
        <w:t>une procédure entachée de manquements aux exigences de l</w:t>
      </w:r>
      <w:r w:rsidR="00357DC2" w:rsidRPr="00357DC2">
        <w:rPr>
          <w:lang w:val="fr-FR"/>
        </w:rPr>
        <w:t>’</w:t>
      </w:r>
      <w:r w:rsidRPr="00357DC2">
        <w:rPr>
          <w:lang w:val="fr-FR"/>
        </w:rPr>
        <w:t>article 6 de la Convention, la Cour peut indiquer qu</w:t>
      </w:r>
      <w:r w:rsidR="00357DC2" w:rsidRPr="00357DC2">
        <w:rPr>
          <w:lang w:val="fr-FR"/>
        </w:rPr>
        <w:t>’</w:t>
      </w:r>
      <w:r w:rsidRPr="00357DC2">
        <w:rPr>
          <w:lang w:val="fr-FR"/>
        </w:rPr>
        <w:t>un nouveau procès ou une réouverture de la procédure, à la demande de l</w:t>
      </w:r>
      <w:r w:rsidR="00357DC2" w:rsidRPr="00357DC2">
        <w:rPr>
          <w:lang w:val="fr-FR"/>
        </w:rPr>
        <w:t>’</w:t>
      </w:r>
      <w:r w:rsidRPr="00357DC2">
        <w:rPr>
          <w:lang w:val="fr-FR"/>
        </w:rPr>
        <w:t>intéressé, représente en principe un moyen approprié de redresser la violation constatée (</w:t>
      </w:r>
      <w:r w:rsidRPr="00357DC2">
        <w:rPr>
          <w:i/>
          <w:lang w:val="fr-FR"/>
        </w:rPr>
        <w:t>Verein gegen Tierfabriken Schweiz (VgT) (n</w:t>
      </w:r>
      <w:r w:rsidRPr="00357DC2">
        <w:rPr>
          <w:i/>
          <w:vertAlign w:val="superscript"/>
          <w:lang w:val="fr-FR"/>
        </w:rPr>
        <w:t>o</w:t>
      </w:r>
      <w:r w:rsidRPr="00357DC2">
        <w:rPr>
          <w:i/>
          <w:lang w:val="fr-FR"/>
        </w:rPr>
        <w:t xml:space="preserve"> 2)</w:t>
      </w:r>
      <w:r w:rsidRPr="00357DC2">
        <w:rPr>
          <w:lang w:val="fr-FR"/>
        </w:rPr>
        <w:t>, précité, § 89). Ainsi, dans le contexte spécifique des affaires relatives à l</w:t>
      </w:r>
      <w:r w:rsidR="00357DC2" w:rsidRPr="00357DC2">
        <w:rPr>
          <w:lang w:val="fr-FR"/>
        </w:rPr>
        <w:t>’</w:t>
      </w:r>
      <w:r w:rsidRPr="00357DC2">
        <w:rPr>
          <w:lang w:val="fr-FR"/>
        </w:rPr>
        <w:t>indépendance et à l</w:t>
      </w:r>
      <w:r w:rsidR="00357DC2" w:rsidRPr="00357DC2">
        <w:rPr>
          <w:lang w:val="fr-FR"/>
        </w:rPr>
        <w:t>’</w:t>
      </w:r>
      <w:r w:rsidRPr="00357DC2">
        <w:rPr>
          <w:lang w:val="fr-FR"/>
        </w:rPr>
        <w:t>impartialité en Turquie des cours de sûreté de l</w:t>
      </w:r>
      <w:r w:rsidR="00357DC2" w:rsidRPr="00357DC2">
        <w:rPr>
          <w:lang w:val="fr-FR"/>
        </w:rPr>
        <w:t>’</w:t>
      </w:r>
      <w:r w:rsidRPr="00357DC2">
        <w:rPr>
          <w:lang w:val="fr-FR"/>
        </w:rPr>
        <w:t>État, elle a dit qu</w:t>
      </w:r>
      <w:r w:rsidR="00357DC2" w:rsidRPr="00357DC2">
        <w:rPr>
          <w:lang w:val="fr-FR"/>
        </w:rPr>
        <w:t>’</w:t>
      </w:r>
      <w:r w:rsidRPr="00357DC2">
        <w:rPr>
          <w:lang w:val="fr-FR"/>
        </w:rPr>
        <w:t xml:space="preserve">en principe le redressement le plus approprié serait de faire rejuger le requérant par un tribunal indépendant et impartial </w:t>
      </w:r>
      <w:r w:rsidR="00172C29" w:rsidRPr="00357DC2">
        <w:rPr>
          <w:lang w:val="fr-FR"/>
        </w:rPr>
        <w:t>(</w:t>
      </w:r>
      <w:r w:rsidRPr="00357DC2">
        <w:rPr>
          <w:i/>
          <w:lang w:val="fr-FR"/>
        </w:rPr>
        <w:t>Gençel c. Turquie</w:t>
      </w:r>
      <w:r w:rsidRPr="00357DC2">
        <w:rPr>
          <w:lang w:val="fr-FR"/>
        </w:rPr>
        <w:t>, n</w:t>
      </w:r>
      <w:r w:rsidRPr="00357DC2">
        <w:rPr>
          <w:vertAlign w:val="superscript"/>
          <w:lang w:val="fr-FR"/>
        </w:rPr>
        <w:t>o</w:t>
      </w:r>
      <w:r w:rsidR="00601F13" w:rsidRPr="00357DC2">
        <w:rPr>
          <w:lang w:val="fr-FR"/>
        </w:rPr>
        <w:t> </w:t>
      </w:r>
      <w:r w:rsidR="003A4BAE" w:rsidRPr="00357DC2">
        <w:rPr>
          <w:lang w:val="fr-FR"/>
        </w:rPr>
        <w:t>53431/99, § </w:t>
      </w:r>
      <w:r w:rsidRPr="00357DC2">
        <w:rPr>
          <w:lang w:val="fr-FR"/>
        </w:rPr>
        <w:t>27, 23 octobre 2003).</w:t>
      </w:r>
    </w:p>
    <w:p w:rsidR="00125CD3" w:rsidRPr="00357DC2" w:rsidRDefault="00125CD3" w:rsidP="00357DC2">
      <w:pPr>
        <w:pStyle w:val="ECHRParaQuote"/>
        <w:rPr>
          <w:lang w:val="fr-FR"/>
        </w:rPr>
      </w:pPr>
      <w:r w:rsidRPr="00357DC2">
        <w:rPr>
          <w:lang w:val="fr-FR"/>
        </w:rPr>
        <w:t>50.</w:t>
      </w:r>
      <w:r w:rsidR="00D93CA5" w:rsidRPr="00357DC2">
        <w:rPr>
          <w:lang w:val="fr-FR"/>
        </w:rPr>
        <w:t>  </w:t>
      </w:r>
      <w:r w:rsidRPr="00357DC2">
        <w:rPr>
          <w:lang w:val="fr-FR"/>
        </w:rPr>
        <w:t xml:space="preserve">Cette approche a été confirmée dans les arrêts </w:t>
      </w:r>
      <w:r w:rsidRPr="00357DC2">
        <w:rPr>
          <w:i/>
          <w:lang w:val="fr-FR"/>
        </w:rPr>
        <w:t xml:space="preserve">Öcalan c. Turquie </w:t>
      </w:r>
      <w:r w:rsidR="00172C29" w:rsidRPr="00357DC2">
        <w:rPr>
          <w:lang w:val="fr-FR"/>
        </w:rPr>
        <w:t>(</w:t>
      </w:r>
      <w:r w:rsidRPr="00357DC2">
        <w:rPr>
          <w:lang w:val="fr-FR"/>
        </w:rPr>
        <w:t>[GC], n</w:t>
      </w:r>
      <w:r w:rsidRPr="00357DC2">
        <w:rPr>
          <w:vertAlign w:val="superscript"/>
          <w:lang w:val="fr-FR"/>
        </w:rPr>
        <w:t>o</w:t>
      </w:r>
      <w:r w:rsidR="00601F13" w:rsidRPr="00357DC2">
        <w:rPr>
          <w:vertAlign w:val="superscript"/>
          <w:lang w:val="fr-FR"/>
        </w:rPr>
        <w:t> </w:t>
      </w:r>
      <w:r w:rsidRPr="00357DC2">
        <w:rPr>
          <w:lang w:val="fr-FR"/>
        </w:rPr>
        <w:t>46221/99, § 210, CEDH 2005-IV</w:t>
      </w:r>
      <w:r w:rsidR="00172C29" w:rsidRPr="00357DC2">
        <w:rPr>
          <w:lang w:val="fr-FR"/>
        </w:rPr>
        <w:t>)</w:t>
      </w:r>
      <w:r w:rsidR="00D93CA5" w:rsidRPr="00357DC2">
        <w:rPr>
          <w:lang w:val="fr-FR"/>
        </w:rPr>
        <w:t>,</w:t>
      </w:r>
      <w:r w:rsidRPr="00357DC2">
        <w:rPr>
          <w:lang w:val="fr-FR"/>
        </w:rPr>
        <w:t xml:space="preserve"> et </w:t>
      </w:r>
      <w:r w:rsidRPr="00357DC2">
        <w:rPr>
          <w:i/>
          <w:lang w:val="fr-FR"/>
        </w:rPr>
        <w:t xml:space="preserve">Sejdovic c. Italie </w:t>
      </w:r>
      <w:r w:rsidR="00172C29" w:rsidRPr="00357DC2">
        <w:rPr>
          <w:lang w:val="fr-FR"/>
        </w:rPr>
        <w:t>(</w:t>
      </w:r>
      <w:r w:rsidRPr="00357DC2">
        <w:rPr>
          <w:lang w:val="fr-FR"/>
        </w:rPr>
        <w:t>[GC], n</w:t>
      </w:r>
      <w:r w:rsidRPr="00357DC2">
        <w:rPr>
          <w:vertAlign w:val="superscript"/>
          <w:lang w:val="fr-FR"/>
        </w:rPr>
        <w:t>o</w:t>
      </w:r>
      <w:r w:rsidR="00601F13" w:rsidRPr="00357DC2">
        <w:rPr>
          <w:lang w:val="fr-FR"/>
        </w:rPr>
        <w:t> </w:t>
      </w:r>
      <w:r w:rsidR="003A4BAE" w:rsidRPr="00357DC2">
        <w:rPr>
          <w:lang w:val="fr-FR"/>
        </w:rPr>
        <w:t>56581/00, CEDH </w:t>
      </w:r>
      <w:r w:rsidRPr="00357DC2">
        <w:rPr>
          <w:lang w:val="fr-FR"/>
        </w:rPr>
        <w:t>2006</w:t>
      </w:r>
      <w:r w:rsidRPr="00357DC2">
        <w:rPr>
          <w:rFonts w:ascii="MS Mincho" w:eastAsia="MS Mincho" w:hAnsi="MS Mincho" w:cs="MS Mincho" w:hint="eastAsia"/>
          <w:lang w:val="fr-FR"/>
        </w:rPr>
        <w:t>‑</w:t>
      </w:r>
      <w:r w:rsidRPr="00357DC2">
        <w:rPr>
          <w:lang w:val="fr-FR"/>
        </w:rPr>
        <w:t>II</w:t>
      </w:r>
      <w:r w:rsidR="00172C29" w:rsidRPr="00357DC2">
        <w:rPr>
          <w:lang w:val="fr-FR"/>
        </w:rPr>
        <w:t>)</w:t>
      </w:r>
      <w:r w:rsidRPr="00357DC2">
        <w:rPr>
          <w:lang w:val="fr-FR"/>
        </w:rPr>
        <w:t>. Dans ce dernier arr</w:t>
      </w:r>
      <w:r w:rsidRPr="00357DC2">
        <w:rPr>
          <w:rFonts w:ascii="Times New Roman" w:hAnsi="Times New Roman" w:cs="Times New Roman"/>
          <w:lang w:val="fr-FR"/>
        </w:rPr>
        <w:t>ê</w:t>
      </w:r>
      <w:r w:rsidRPr="00357DC2">
        <w:rPr>
          <w:lang w:val="fr-FR"/>
        </w:rPr>
        <w:t>t, la Cour a pos</w:t>
      </w:r>
      <w:r w:rsidRPr="00357DC2">
        <w:rPr>
          <w:rFonts w:ascii="Times New Roman" w:hAnsi="Times New Roman" w:cs="Times New Roman"/>
          <w:lang w:val="fr-FR"/>
        </w:rPr>
        <w:t>é</w:t>
      </w:r>
      <w:r w:rsidRPr="00357DC2">
        <w:rPr>
          <w:lang w:val="fr-FR"/>
        </w:rPr>
        <w:t xml:space="preserve"> les principes g</w:t>
      </w:r>
      <w:r w:rsidRPr="00357DC2">
        <w:rPr>
          <w:rFonts w:ascii="Times New Roman" w:hAnsi="Times New Roman" w:cs="Times New Roman"/>
          <w:lang w:val="fr-FR"/>
        </w:rPr>
        <w:t>é</w:t>
      </w:r>
      <w:r w:rsidRPr="00357DC2">
        <w:rPr>
          <w:lang w:val="fr-FR"/>
        </w:rPr>
        <w:t>n</w:t>
      </w:r>
      <w:r w:rsidRPr="00357DC2">
        <w:rPr>
          <w:rFonts w:ascii="Times New Roman" w:hAnsi="Times New Roman" w:cs="Times New Roman"/>
          <w:lang w:val="fr-FR"/>
        </w:rPr>
        <w:t>é</w:t>
      </w:r>
      <w:r w:rsidRPr="00357DC2">
        <w:rPr>
          <w:lang w:val="fr-FR"/>
        </w:rPr>
        <w:t>raux (</w:t>
      </w:r>
      <w:r w:rsidRPr="00357DC2">
        <w:rPr>
          <w:rFonts w:ascii="Times New Roman" w:hAnsi="Times New Roman" w:cs="Times New Roman"/>
          <w:lang w:val="fr-FR"/>
        </w:rPr>
        <w:t>§§</w:t>
      </w:r>
      <w:r w:rsidR="00601F13" w:rsidRPr="00357DC2">
        <w:rPr>
          <w:rFonts w:ascii="Times New Roman" w:hAnsi="Times New Roman" w:cs="Times New Roman"/>
          <w:lang w:val="fr-FR"/>
        </w:rPr>
        <w:t> </w:t>
      </w:r>
      <w:r w:rsidRPr="00357DC2">
        <w:rPr>
          <w:lang w:val="fr-FR"/>
        </w:rPr>
        <w:t>126 et 127), qui peuvent se r</w:t>
      </w:r>
      <w:r w:rsidRPr="00357DC2">
        <w:rPr>
          <w:rFonts w:ascii="Times New Roman" w:hAnsi="Times New Roman" w:cs="Times New Roman"/>
          <w:lang w:val="fr-FR"/>
        </w:rPr>
        <w:t>é</w:t>
      </w:r>
      <w:r w:rsidRPr="00357DC2">
        <w:rPr>
          <w:lang w:val="fr-FR"/>
        </w:rPr>
        <w:t>sumer comme suit :</w:t>
      </w:r>
    </w:p>
    <w:p w:rsidR="00125CD3" w:rsidRPr="00357DC2" w:rsidRDefault="00125CD3" w:rsidP="00357DC2">
      <w:pPr>
        <w:pStyle w:val="ECHRParaQuote"/>
        <w:rPr>
          <w:lang w:val="fr-FR"/>
        </w:rPr>
      </w:pPr>
      <w:r w:rsidRPr="00357DC2">
        <w:rPr>
          <w:lang w:val="fr-FR"/>
        </w:rPr>
        <w:t>a)</w:t>
      </w:r>
      <w:r w:rsidR="00D93CA5" w:rsidRPr="00357DC2">
        <w:rPr>
          <w:lang w:val="fr-FR"/>
        </w:rPr>
        <w:t>  </w:t>
      </w:r>
      <w:r w:rsidRPr="00357DC2">
        <w:rPr>
          <w:lang w:val="fr-FR"/>
        </w:rPr>
        <w:t>Lorsqu</w:t>
      </w:r>
      <w:r w:rsidR="00357DC2" w:rsidRPr="00357DC2">
        <w:rPr>
          <w:lang w:val="fr-FR"/>
        </w:rPr>
        <w:t>’</w:t>
      </w:r>
      <w:r w:rsidRPr="00357DC2">
        <w:rPr>
          <w:lang w:val="fr-FR"/>
        </w:rPr>
        <w:t>un particulier a été condamné à l</w:t>
      </w:r>
      <w:r w:rsidR="00357DC2" w:rsidRPr="00357DC2">
        <w:rPr>
          <w:lang w:val="fr-FR"/>
        </w:rPr>
        <w:t>’</w:t>
      </w:r>
      <w:r w:rsidRPr="00357DC2">
        <w:rPr>
          <w:lang w:val="fr-FR"/>
        </w:rPr>
        <w:t>issue d</w:t>
      </w:r>
      <w:r w:rsidR="00357DC2" w:rsidRPr="00357DC2">
        <w:rPr>
          <w:lang w:val="fr-FR"/>
        </w:rPr>
        <w:t>’</w:t>
      </w:r>
      <w:r w:rsidRPr="00357DC2">
        <w:rPr>
          <w:lang w:val="fr-FR"/>
        </w:rPr>
        <w:t>une procédure entachée de manquements aux exigences de l</w:t>
      </w:r>
      <w:r w:rsidR="00357DC2" w:rsidRPr="00357DC2">
        <w:rPr>
          <w:lang w:val="fr-FR"/>
        </w:rPr>
        <w:t>’</w:t>
      </w:r>
      <w:r w:rsidRPr="00357DC2">
        <w:rPr>
          <w:lang w:val="fr-FR"/>
        </w:rPr>
        <w:t>article 6 de la Convention, un nouveau procès ou une réouverture de la procédure à la demande de l</w:t>
      </w:r>
      <w:r w:rsidR="00357DC2" w:rsidRPr="00357DC2">
        <w:rPr>
          <w:lang w:val="fr-FR"/>
        </w:rPr>
        <w:t>’</w:t>
      </w:r>
      <w:r w:rsidRPr="00357DC2">
        <w:rPr>
          <w:lang w:val="fr-FR"/>
        </w:rPr>
        <w:t>intéressé représente en principe un moyen approprié de redresser la violation constatée. Cependant, les mesures de réparation spécifiques à prendre, le cas échéant, par un État défendeur pour s</w:t>
      </w:r>
      <w:r w:rsidR="00357DC2" w:rsidRPr="00357DC2">
        <w:rPr>
          <w:lang w:val="fr-FR"/>
        </w:rPr>
        <w:t>’</w:t>
      </w:r>
      <w:r w:rsidRPr="00357DC2">
        <w:rPr>
          <w:lang w:val="fr-FR"/>
        </w:rPr>
        <w:t>acquitter des obligations qui lui incombent en vertu de la Convention dépendent nécessairement des circonstances particulières de la cause et doivent être définies à la lumière de l</w:t>
      </w:r>
      <w:r w:rsidR="00357DC2" w:rsidRPr="00357DC2">
        <w:rPr>
          <w:lang w:val="fr-FR"/>
        </w:rPr>
        <w:t>’</w:t>
      </w:r>
      <w:r w:rsidRPr="00357DC2">
        <w:rPr>
          <w:lang w:val="fr-FR"/>
        </w:rPr>
        <w:t>arrêt rendu par la Cour dans l</w:t>
      </w:r>
      <w:r w:rsidR="00357DC2" w:rsidRPr="00357DC2">
        <w:rPr>
          <w:lang w:val="fr-FR"/>
        </w:rPr>
        <w:t>’</w:t>
      </w:r>
      <w:r w:rsidRPr="00357DC2">
        <w:rPr>
          <w:lang w:val="fr-FR"/>
        </w:rPr>
        <w:t>affaire concernée, compte dûment tenu de la jurisprudence de la Cour.</w:t>
      </w:r>
    </w:p>
    <w:p w:rsidR="00125CD3" w:rsidRPr="00357DC2" w:rsidRDefault="00125CD3" w:rsidP="00357DC2">
      <w:pPr>
        <w:pStyle w:val="ECHRParaQuote"/>
        <w:rPr>
          <w:lang w:val="fr-FR"/>
        </w:rPr>
      </w:pPr>
      <w:r w:rsidRPr="00357DC2">
        <w:rPr>
          <w:lang w:val="fr-FR"/>
        </w:rPr>
        <w:t>b)</w:t>
      </w:r>
      <w:r w:rsidR="00D93CA5" w:rsidRPr="00357DC2">
        <w:rPr>
          <w:lang w:val="fr-FR"/>
        </w:rPr>
        <w:t>  </w:t>
      </w:r>
      <w:r w:rsidRPr="00357DC2">
        <w:rPr>
          <w:lang w:val="fr-FR"/>
        </w:rPr>
        <w:t>En particulier, il n</w:t>
      </w:r>
      <w:r w:rsidR="00357DC2" w:rsidRPr="00357DC2">
        <w:rPr>
          <w:lang w:val="fr-FR"/>
        </w:rPr>
        <w:t>’</w:t>
      </w:r>
      <w:r w:rsidRPr="00357DC2">
        <w:rPr>
          <w:lang w:val="fr-FR"/>
        </w:rPr>
        <w:t>appartient pas à la Cour d</w:t>
      </w:r>
      <w:r w:rsidR="00357DC2" w:rsidRPr="00357DC2">
        <w:rPr>
          <w:lang w:val="fr-FR"/>
        </w:rPr>
        <w:t>’</w:t>
      </w:r>
      <w:r w:rsidRPr="00357DC2">
        <w:rPr>
          <w:lang w:val="fr-FR"/>
        </w:rPr>
        <w:t>indiquer les modalités et la forme d</w:t>
      </w:r>
      <w:r w:rsidR="00357DC2" w:rsidRPr="00357DC2">
        <w:rPr>
          <w:lang w:val="fr-FR"/>
        </w:rPr>
        <w:t>’</w:t>
      </w:r>
      <w:r w:rsidRPr="00357DC2">
        <w:rPr>
          <w:lang w:val="fr-FR"/>
        </w:rPr>
        <w:t>un nouveau procès éventuel. L</w:t>
      </w:r>
      <w:r w:rsidR="00357DC2" w:rsidRPr="00357DC2">
        <w:rPr>
          <w:lang w:val="fr-FR"/>
        </w:rPr>
        <w:t>’</w:t>
      </w:r>
      <w:r w:rsidRPr="00357DC2">
        <w:rPr>
          <w:lang w:val="fr-FR"/>
        </w:rPr>
        <w:t>État défendeur demeure libre de choisir les moyens de s</w:t>
      </w:r>
      <w:r w:rsidR="00357DC2" w:rsidRPr="00357DC2">
        <w:rPr>
          <w:lang w:val="fr-FR"/>
        </w:rPr>
        <w:t>’</w:t>
      </w:r>
      <w:r w:rsidRPr="00357DC2">
        <w:rPr>
          <w:lang w:val="fr-FR"/>
        </w:rPr>
        <w:t>acquitter de son obligation de placer le requérant, le plus possible, dans une situation équivalant à celle dans laquelle il se trouverait s</w:t>
      </w:r>
      <w:r w:rsidR="00357DC2" w:rsidRPr="00357DC2">
        <w:rPr>
          <w:lang w:val="fr-FR"/>
        </w:rPr>
        <w:t>’</w:t>
      </w:r>
      <w:r w:rsidRPr="00357DC2">
        <w:rPr>
          <w:lang w:val="fr-FR"/>
        </w:rPr>
        <w:t>il n</w:t>
      </w:r>
      <w:r w:rsidR="00357DC2" w:rsidRPr="00357DC2">
        <w:rPr>
          <w:lang w:val="fr-FR"/>
        </w:rPr>
        <w:t>’</w:t>
      </w:r>
      <w:r w:rsidRPr="00357DC2">
        <w:rPr>
          <w:lang w:val="fr-FR"/>
        </w:rPr>
        <w:t>y avait pas eu manquement aux exigences de la Convention, pour autant que ces moyens soient compatibles avec les conclusions contenues dans l</w:t>
      </w:r>
      <w:r w:rsidR="00357DC2" w:rsidRPr="00357DC2">
        <w:rPr>
          <w:lang w:val="fr-FR"/>
        </w:rPr>
        <w:t>’</w:t>
      </w:r>
      <w:r w:rsidRPr="00357DC2">
        <w:rPr>
          <w:lang w:val="fr-FR"/>
        </w:rPr>
        <w:t>arrêt de la Cour et avec les droits de la défense.</w:t>
      </w:r>
    </w:p>
    <w:p w:rsidR="00ED73A2" w:rsidRPr="00357DC2" w:rsidRDefault="00125CD3" w:rsidP="00357DC2">
      <w:pPr>
        <w:pStyle w:val="ECHRParaQuote"/>
        <w:rPr>
          <w:lang w:val="fr-FR"/>
        </w:rPr>
      </w:pPr>
      <w:r w:rsidRPr="00357DC2">
        <w:rPr>
          <w:lang w:val="fr-FR"/>
        </w:rPr>
        <w:t>51.</w:t>
      </w:r>
      <w:r w:rsidR="00D93CA5" w:rsidRPr="00357DC2">
        <w:rPr>
          <w:lang w:val="fr-FR"/>
        </w:rPr>
        <w:t>  </w:t>
      </w:r>
      <w:r w:rsidRPr="00357DC2">
        <w:rPr>
          <w:lang w:val="fr-FR"/>
        </w:rPr>
        <w:t>Dans des cas exceptionnels, la nature même de la violation constatée n</w:t>
      </w:r>
      <w:r w:rsidR="00357DC2" w:rsidRPr="00357DC2">
        <w:rPr>
          <w:lang w:val="fr-FR"/>
        </w:rPr>
        <w:t>’</w:t>
      </w:r>
      <w:r w:rsidRPr="00357DC2">
        <w:rPr>
          <w:lang w:val="fr-FR"/>
        </w:rPr>
        <w:t>offre pas de choix parmi différentes sortes de mesures susceptibles d</w:t>
      </w:r>
      <w:r w:rsidR="00357DC2" w:rsidRPr="00357DC2">
        <w:rPr>
          <w:lang w:val="fr-FR"/>
        </w:rPr>
        <w:t>’</w:t>
      </w:r>
      <w:r w:rsidRPr="00357DC2">
        <w:rPr>
          <w:lang w:val="fr-FR"/>
        </w:rPr>
        <w:t xml:space="preserve">y remédier et la Cour est conduite à indiquer une seule de ces mesures (voir, par exemple, </w:t>
      </w:r>
      <w:r w:rsidR="00601F13" w:rsidRPr="00357DC2">
        <w:rPr>
          <w:i/>
          <w:lang w:val="fr-FR"/>
        </w:rPr>
        <w:t>Assanidzé c. </w:t>
      </w:r>
      <w:r w:rsidRPr="00357DC2">
        <w:rPr>
          <w:i/>
          <w:lang w:val="fr-FR"/>
        </w:rPr>
        <w:t xml:space="preserve">Géorgie </w:t>
      </w:r>
      <w:r w:rsidRPr="00357DC2">
        <w:rPr>
          <w:lang w:val="fr-FR"/>
        </w:rPr>
        <w:t>[GC], n</w:t>
      </w:r>
      <w:r w:rsidRPr="00357DC2">
        <w:rPr>
          <w:vertAlign w:val="superscript"/>
          <w:lang w:val="fr-FR"/>
        </w:rPr>
        <w:t>o</w:t>
      </w:r>
      <w:r w:rsidRPr="00357DC2">
        <w:rPr>
          <w:lang w:val="fr-FR"/>
        </w:rPr>
        <w:t xml:space="preserve"> 71503/01, §§ 202 et 203, CEDH 2004</w:t>
      </w:r>
      <w:r w:rsidRPr="00357DC2">
        <w:rPr>
          <w:rFonts w:ascii="MS Mincho" w:eastAsia="MS Mincho" w:hAnsi="MS Mincho" w:cs="MS Mincho" w:hint="eastAsia"/>
          <w:lang w:val="fr-FR"/>
        </w:rPr>
        <w:t>‑</w:t>
      </w:r>
      <w:r w:rsidRPr="00357DC2">
        <w:rPr>
          <w:lang w:val="fr-FR"/>
        </w:rPr>
        <w:t xml:space="preserve">II, et </w:t>
      </w:r>
      <w:r w:rsidRPr="00357DC2">
        <w:rPr>
          <w:i/>
          <w:lang w:val="fr-FR"/>
        </w:rPr>
        <w:t>Del R</w:t>
      </w:r>
      <w:r w:rsidRPr="00357DC2">
        <w:rPr>
          <w:rFonts w:ascii="Times New Roman" w:hAnsi="Times New Roman" w:cs="Times New Roman"/>
          <w:i/>
          <w:lang w:val="fr-FR"/>
        </w:rPr>
        <w:t>í</w:t>
      </w:r>
      <w:r w:rsidRPr="00357DC2">
        <w:rPr>
          <w:i/>
          <w:lang w:val="fr-FR"/>
        </w:rPr>
        <w:t>o Prada c</w:t>
      </w:r>
      <w:r w:rsidR="00601F13" w:rsidRPr="00357DC2">
        <w:rPr>
          <w:i/>
          <w:lang w:val="fr-FR"/>
        </w:rPr>
        <w:t>. </w:t>
      </w:r>
      <w:r w:rsidRPr="00357DC2">
        <w:rPr>
          <w:i/>
          <w:lang w:val="fr-FR"/>
        </w:rPr>
        <w:t xml:space="preserve"> Espagne</w:t>
      </w:r>
      <w:r w:rsidRPr="00357DC2">
        <w:rPr>
          <w:lang w:val="fr-FR"/>
        </w:rPr>
        <w:t xml:space="preserve"> [GC], n</w:t>
      </w:r>
      <w:r w:rsidRPr="00357DC2">
        <w:rPr>
          <w:vertAlign w:val="superscript"/>
          <w:lang w:val="fr-FR"/>
        </w:rPr>
        <w:t>o</w:t>
      </w:r>
      <w:r w:rsidRPr="00357DC2">
        <w:rPr>
          <w:lang w:val="fr-FR"/>
        </w:rPr>
        <w:t xml:space="preserve"> 42750/09, </w:t>
      </w:r>
      <w:r w:rsidRPr="00357DC2">
        <w:rPr>
          <w:rFonts w:ascii="Times New Roman" w:hAnsi="Times New Roman" w:cs="Times New Roman"/>
          <w:lang w:val="fr-FR"/>
        </w:rPr>
        <w:t>§§</w:t>
      </w:r>
      <w:r w:rsidRPr="00357DC2">
        <w:rPr>
          <w:lang w:val="fr-FR"/>
        </w:rPr>
        <w:t xml:space="preserve"> 138 et 139, CEDH 2013). En revanche, dans certains arr</w:t>
      </w:r>
      <w:r w:rsidRPr="00357DC2">
        <w:rPr>
          <w:rFonts w:ascii="Times New Roman" w:hAnsi="Times New Roman" w:cs="Times New Roman"/>
          <w:lang w:val="fr-FR"/>
        </w:rPr>
        <w:t>ê</w:t>
      </w:r>
      <w:r w:rsidRPr="00357DC2">
        <w:rPr>
          <w:lang w:val="fr-FR"/>
        </w:rPr>
        <w:t>ts, la Cour a elle-m</w:t>
      </w:r>
      <w:r w:rsidRPr="00357DC2">
        <w:rPr>
          <w:rFonts w:ascii="Times New Roman" w:hAnsi="Times New Roman" w:cs="Times New Roman"/>
          <w:lang w:val="fr-FR"/>
        </w:rPr>
        <w:t>ê</w:t>
      </w:r>
      <w:r w:rsidRPr="00357DC2">
        <w:rPr>
          <w:lang w:val="fr-FR"/>
        </w:rPr>
        <w:t>me explicitement exclu la réouverture, après un constat de violation de l</w:t>
      </w:r>
      <w:r w:rsidR="00357DC2" w:rsidRPr="00357DC2">
        <w:rPr>
          <w:lang w:val="fr-FR"/>
        </w:rPr>
        <w:t>’</w:t>
      </w:r>
      <w:r w:rsidRPr="00357DC2">
        <w:rPr>
          <w:lang w:val="fr-FR"/>
        </w:rPr>
        <w:t xml:space="preserve">article 6 de la Convention, des procédures closes par des décisions de justice définitives (voir, par exemple, </w:t>
      </w:r>
      <w:r w:rsidRPr="00357DC2">
        <w:rPr>
          <w:i/>
          <w:lang w:val="fr-FR"/>
        </w:rPr>
        <w:t>H</w:t>
      </w:r>
      <w:r w:rsidR="003A4BAE" w:rsidRPr="00357DC2">
        <w:rPr>
          <w:i/>
          <w:lang w:val="fr-FR"/>
        </w:rPr>
        <w:t>enryk Urban et Ryszard Urban c. </w:t>
      </w:r>
      <w:r w:rsidRPr="00357DC2">
        <w:rPr>
          <w:i/>
          <w:lang w:val="fr-FR"/>
        </w:rPr>
        <w:t>Pologne</w:t>
      </w:r>
      <w:r w:rsidRPr="00357DC2">
        <w:rPr>
          <w:lang w:val="fr-FR"/>
        </w:rPr>
        <w:t>, n</w:t>
      </w:r>
      <w:r w:rsidRPr="00357DC2">
        <w:rPr>
          <w:vertAlign w:val="superscript"/>
          <w:lang w:val="fr-FR"/>
        </w:rPr>
        <w:t>o</w:t>
      </w:r>
      <w:r w:rsidRPr="00357DC2">
        <w:rPr>
          <w:lang w:val="fr-FR"/>
        </w:rPr>
        <w:t xml:space="preserve"> 23614/08, § 66, 30 novembre 2010). »</w:t>
      </w:r>
    </w:p>
    <w:p w:rsidR="001A4172" w:rsidRPr="00357DC2" w:rsidRDefault="00CE15B7"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44</w:t>
      </w:r>
      <w:r w:rsidRPr="00357DC2">
        <w:rPr>
          <w:lang w:val="fr-FR"/>
        </w:rPr>
        <w:fldChar w:fldCharType="end"/>
      </w:r>
      <w:r w:rsidRPr="00357DC2">
        <w:rPr>
          <w:lang w:val="fr-FR"/>
        </w:rPr>
        <w:t>.  </w:t>
      </w:r>
      <w:r w:rsidR="00125CD3" w:rsidRPr="00357DC2">
        <w:rPr>
          <w:lang w:val="fr-FR"/>
        </w:rPr>
        <w:t>En l</w:t>
      </w:r>
      <w:r w:rsidR="00357DC2" w:rsidRPr="00357DC2">
        <w:rPr>
          <w:lang w:val="fr-FR"/>
        </w:rPr>
        <w:t>’</w:t>
      </w:r>
      <w:r w:rsidR="00125CD3" w:rsidRPr="00357DC2">
        <w:rPr>
          <w:lang w:val="fr-FR"/>
        </w:rPr>
        <w:t>espèce,</w:t>
      </w:r>
      <w:r w:rsidR="00CB7C39" w:rsidRPr="00357DC2">
        <w:rPr>
          <w:lang w:val="fr-FR"/>
        </w:rPr>
        <w:t xml:space="preserve"> </w:t>
      </w:r>
      <w:r w:rsidR="00E62839" w:rsidRPr="00357DC2">
        <w:rPr>
          <w:lang w:val="fr-FR"/>
        </w:rPr>
        <w:t xml:space="preserve">la Cour note que, </w:t>
      </w:r>
      <w:r w:rsidR="00CB7C39" w:rsidRPr="00357DC2">
        <w:rPr>
          <w:lang w:val="fr-FR"/>
        </w:rPr>
        <w:t>à la suite</w:t>
      </w:r>
      <w:r w:rsidR="00125CD3" w:rsidRPr="00357DC2">
        <w:rPr>
          <w:lang w:val="fr-FR"/>
        </w:rPr>
        <w:t xml:space="preserve"> </w:t>
      </w:r>
      <w:r w:rsidR="00CB7C39" w:rsidRPr="00357DC2">
        <w:rPr>
          <w:lang w:val="fr-FR"/>
        </w:rPr>
        <w:t xml:space="preserve">de </w:t>
      </w:r>
      <w:r w:rsidR="00A45D8D" w:rsidRPr="00357DC2">
        <w:rPr>
          <w:lang w:val="fr-FR"/>
        </w:rPr>
        <w:t>l</w:t>
      </w:r>
      <w:r w:rsidR="00357DC2" w:rsidRPr="00357DC2">
        <w:rPr>
          <w:lang w:val="fr-FR"/>
        </w:rPr>
        <w:t>’</w:t>
      </w:r>
      <w:r w:rsidR="00D26756" w:rsidRPr="00357DC2">
        <w:rPr>
          <w:lang w:val="fr-FR"/>
        </w:rPr>
        <w:t xml:space="preserve">arrêt </w:t>
      </w:r>
      <w:r w:rsidR="00A45D8D" w:rsidRPr="00357DC2">
        <w:rPr>
          <w:lang w:val="fr-FR"/>
        </w:rPr>
        <w:t>qu</w:t>
      </w:r>
      <w:r w:rsidR="00357DC2" w:rsidRPr="00357DC2">
        <w:rPr>
          <w:lang w:val="fr-FR"/>
        </w:rPr>
        <w:t>’</w:t>
      </w:r>
      <w:r w:rsidR="00A45D8D" w:rsidRPr="00357DC2">
        <w:rPr>
          <w:lang w:val="fr-FR"/>
        </w:rPr>
        <w:t>elle a rendu le</w:t>
      </w:r>
      <w:r w:rsidR="00CB7C39" w:rsidRPr="00357DC2">
        <w:rPr>
          <w:lang w:val="fr-FR"/>
        </w:rPr>
        <w:t xml:space="preserve"> 11 décembre 2007, le requérant </w:t>
      </w:r>
      <w:r w:rsidR="00575241" w:rsidRPr="00357DC2">
        <w:rPr>
          <w:lang w:val="fr-FR"/>
        </w:rPr>
        <w:t xml:space="preserve">a </w:t>
      </w:r>
      <w:r w:rsidR="00CB7C39" w:rsidRPr="00357DC2">
        <w:rPr>
          <w:lang w:val="fr-FR"/>
        </w:rPr>
        <w:t xml:space="preserve">saisi </w:t>
      </w:r>
      <w:r w:rsidR="00492372" w:rsidRPr="00357DC2">
        <w:rPr>
          <w:lang w:val="fr-FR"/>
        </w:rPr>
        <w:t xml:space="preserve">la </w:t>
      </w:r>
      <w:r w:rsidR="00A45D8D" w:rsidRPr="00357DC2">
        <w:rPr>
          <w:lang w:val="fr-FR"/>
        </w:rPr>
        <w:t>c</w:t>
      </w:r>
      <w:r w:rsidR="00492372" w:rsidRPr="00357DC2">
        <w:rPr>
          <w:lang w:val="fr-FR"/>
        </w:rPr>
        <w:t>our d</w:t>
      </w:r>
      <w:r w:rsidR="00357DC2" w:rsidRPr="00357DC2">
        <w:rPr>
          <w:lang w:val="fr-FR"/>
        </w:rPr>
        <w:t>’</w:t>
      </w:r>
      <w:r w:rsidR="00492372" w:rsidRPr="00357DC2">
        <w:rPr>
          <w:lang w:val="fr-FR"/>
        </w:rPr>
        <w:t xml:space="preserve">appel de Venise afin </w:t>
      </w:r>
      <w:r w:rsidR="00492372" w:rsidRPr="00357DC2">
        <w:rPr>
          <w:lang w:val="fr-FR"/>
        </w:rPr>
        <w:lastRenderedPageBreak/>
        <w:t>d</w:t>
      </w:r>
      <w:r w:rsidR="00357DC2" w:rsidRPr="00357DC2">
        <w:rPr>
          <w:lang w:val="fr-FR"/>
        </w:rPr>
        <w:t>’</w:t>
      </w:r>
      <w:r w:rsidR="00492372" w:rsidRPr="00357DC2">
        <w:rPr>
          <w:lang w:val="fr-FR"/>
        </w:rPr>
        <w:t>obtenir l</w:t>
      </w:r>
      <w:r w:rsidR="00357DC2" w:rsidRPr="00357DC2">
        <w:rPr>
          <w:lang w:val="fr-FR"/>
        </w:rPr>
        <w:t>’</w:t>
      </w:r>
      <w:r w:rsidR="00492372" w:rsidRPr="00357DC2">
        <w:rPr>
          <w:lang w:val="fr-FR"/>
        </w:rPr>
        <w:t>annulation de sa condamnation. Celle-ci</w:t>
      </w:r>
      <w:r w:rsidR="0030524C" w:rsidRPr="00357DC2">
        <w:rPr>
          <w:lang w:val="fr-FR"/>
        </w:rPr>
        <w:t xml:space="preserve"> </w:t>
      </w:r>
      <w:r w:rsidR="00E62839" w:rsidRPr="00357DC2">
        <w:rPr>
          <w:lang w:val="fr-FR"/>
        </w:rPr>
        <w:t xml:space="preserve">a </w:t>
      </w:r>
      <w:r w:rsidR="0030524C" w:rsidRPr="00357DC2">
        <w:rPr>
          <w:lang w:val="fr-FR"/>
        </w:rPr>
        <w:t>renvoy</w:t>
      </w:r>
      <w:r w:rsidR="00E62839" w:rsidRPr="00357DC2">
        <w:rPr>
          <w:lang w:val="fr-FR"/>
        </w:rPr>
        <w:t>é</w:t>
      </w:r>
      <w:r w:rsidR="0030524C" w:rsidRPr="00357DC2">
        <w:rPr>
          <w:lang w:val="fr-FR"/>
        </w:rPr>
        <w:t xml:space="preserve"> l</w:t>
      </w:r>
      <w:r w:rsidR="00357DC2" w:rsidRPr="00357DC2">
        <w:rPr>
          <w:lang w:val="fr-FR"/>
        </w:rPr>
        <w:t>’</w:t>
      </w:r>
      <w:r w:rsidR="0030524C" w:rsidRPr="00357DC2">
        <w:rPr>
          <w:lang w:val="fr-FR"/>
        </w:rPr>
        <w:t>affaire devant la Cour de cassation</w:t>
      </w:r>
      <w:r w:rsidR="00E62839" w:rsidRPr="00357DC2">
        <w:rPr>
          <w:lang w:val="fr-FR"/>
        </w:rPr>
        <w:t>,</w:t>
      </w:r>
      <w:r w:rsidR="0030524C" w:rsidRPr="00357DC2">
        <w:rPr>
          <w:lang w:val="fr-FR"/>
        </w:rPr>
        <w:t xml:space="preserve"> </w:t>
      </w:r>
      <w:r w:rsidR="00C37BC9" w:rsidRPr="00357DC2">
        <w:rPr>
          <w:lang w:val="fr-FR"/>
        </w:rPr>
        <w:t xml:space="preserve">laquelle </w:t>
      </w:r>
      <w:r w:rsidR="00E62839" w:rsidRPr="00357DC2">
        <w:rPr>
          <w:lang w:val="fr-FR"/>
        </w:rPr>
        <w:t xml:space="preserve">a </w:t>
      </w:r>
      <w:r w:rsidR="001A4172" w:rsidRPr="00357DC2">
        <w:rPr>
          <w:lang w:val="fr-FR"/>
        </w:rPr>
        <w:t>révoqu</w:t>
      </w:r>
      <w:r w:rsidR="00E62839" w:rsidRPr="00357DC2">
        <w:rPr>
          <w:lang w:val="fr-FR"/>
        </w:rPr>
        <w:t>é</w:t>
      </w:r>
      <w:r w:rsidR="00492372" w:rsidRPr="00357DC2">
        <w:rPr>
          <w:lang w:val="fr-FR"/>
        </w:rPr>
        <w:t xml:space="preserve"> </w:t>
      </w:r>
      <w:r w:rsidR="001A4172" w:rsidRPr="00357DC2">
        <w:rPr>
          <w:lang w:val="fr-FR"/>
        </w:rPr>
        <w:t>l</w:t>
      </w:r>
      <w:r w:rsidR="00357DC2" w:rsidRPr="00357DC2">
        <w:rPr>
          <w:lang w:val="fr-FR"/>
        </w:rPr>
        <w:t>’</w:t>
      </w:r>
      <w:r w:rsidR="001A4172" w:rsidRPr="00357DC2">
        <w:rPr>
          <w:lang w:val="fr-FR"/>
        </w:rPr>
        <w:t>arrêt de</w:t>
      </w:r>
      <w:r w:rsidR="00492372" w:rsidRPr="00357DC2">
        <w:rPr>
          <w:lang w:val="fr-FR"/>
        </w:rPr>
        <w:t xml:space="preserve"> condamnation</w:t>
      </w:r>
      <w:r w:rsidR="00626226" w:rsidRPr="00357DC2">
        <w:rPr>
          <w:lang w:val="fr-FR"/>
        </w:rPr>
        <w:t xml:space="preserve"> dans la partie</w:t>
      </w:r>
      <w:r w:rsidR="00D6149F" w:rsidRPr="00357DC2">
        <w:rPr>
          <w:lang w:val="fr-FR"/>
        </w:rPr>
        <w:t xml:space="preserve"> concernant l</w:t>
      </w:r>
      <w:r w:rsidR="00357DC2" w:rsidRPr="00357DC2">
        <w:rPr>
          <w:lang w:val="fr-FR"/>
        </w:rPr>
        <w:t>’</w:t>
      </w:r>
      <w:r w:rsidR="00D6149F" w:rsidRPr="00357DC2">
        <w:rPr>
          <w:lang w:val="fr-FR"/>
        </w:rPr>
        <w:t>infraction de corruption</w:t>
      </w:r>
      <w:r w:rsidR="00626226" w:rsidRPr="00357DC2">
        <w:rPr>
          <w:lang w:val="fr-FR"/>
        </w:rPr>
        <w:t xml:space="preserve"> </w:t>
      </w:r>
      <w:r w:rsidR="00492372" w:rsidRPr="00357DC2">
        <w:rPr>
          <w:lang w:val="fr-FR"/>
        </w:rPr>
        <w:t xml:space="preserve">et </w:t>
      </w:r>
      <w:r w:rsidR="00E62839" w:rsidRPr="00357DC2">
        <w:rPr>
          <w:lang w:val="fr-FR"/>
        </w:rPr>
        <w:t xml:space="preserve">a </w:t>
      </w:r>
      <w:r w:rsidR="00492372" w:rsidRPr="00357DC2">
        <w:rPr>
          <w:lang w:val="fr-FR"/>
        </w:rPr>
        <w:t>décid</w:t>
      </w:r>
      <w:r w:rsidR="00E62839" w:rsidRPr="00357DC2">
        <w:rPr>
          <w:lang w:val="fr-FR"/>
        </w:rPr>
        <w:t>é</w:t>
      </w:r>
      <w:r w:rsidR="00492372" w:rsidRPr="00357DC2">
        <w:rPr>
          <w:lang w:val="fr-FR"/>
        </w:rPr>
        <w:t xml:space="preserve"> qu</w:t>
      </w:r>
      <w:r w:rsidR="00357DC2" w:rsidRPr="00357DC2">
        <w:rPr>
          <w:lang w:val="fr-FR"/>
        </w:rPr>
        <w:t>’</w:t>
      </w:r>
      <w:r w:rsidR="00492372" w:rsidRPr="00357DC2">
        <w:rPr>
          <w:lang w:val="fr-FR"/>
        </w:rPr>
        <w:t>un nouvel examen du pourvoi en cassation du requérant s</w:t>
      </w:r>
      <w:r w:rsidR="00357DC2" w:rsidRPr="00357DC2">
        <w:rPr>
          <w:lang w:val="fr-FR"/>
        </w:rPr>
        <w:t>’</w:t>
      </w:r>
      <w:r w:rsidR="00492372" w:rsidRPr="00357DC2">
        <w:rPr>
          <w:lang w:val="fr-FR"/>
        </w:rPr>
        <w:t xml:space="preserve">imposait. </w:t>
      </w:r>
      <w:r w:rsidR="00C37BC9" w:rsidRPr="00357DC2">
        <w:rPr>
          <w:lang w:val="fr-FR"/>
        </w:rPr>
        <w:t>U</w:t>
      </w:r>
      <w:r w:rsidR="001A4172" w:rsidRPr="00357DC2">
        <w:rPr>
          <w:lang w:val="fr-FR"/>
        </w:rPr>
        <w:t xml:space="preserve">ne procédure </w:t>
      </w:r>
      <w:r w:rsidR="00E62839" w:rsidRPr="00357DC2">
        <w:rPr>
          <w:lang w:val="fr-FR"/>
        </w:rPr>
        <w:t xml:space="preserve">a </w:t>
      </w:r>
      <w:r w:rsidR="00C37BC9" w:rsidRPr="00357DC2">
        <w:rPr>
          <w:lang w:val="fr-FR"/>
        </w:rPr>
        <w:t xml:space="preserve">ainsi </w:t>
      </w:r>
      <w:r w:rsidR="00E62839" w:rsidRPr="00357DC2">
        <w:rPr>
          <w:lang w:val="fr-FR"/>
        </w:rPr>
        <w:t xml:space="preserve">été </w:t>
      </w:r>
      <w:r w:rsidR="001A4172" w:rsidRPr="00357DC2">
        <w:rPr>
          <w:lang w:val="fr-FR"/>
        </w:rPr>
        <w:t>entamée devant la Cour de cassation, qui s</w:t>
      </w:r>
      <w:r w:rsidR="00357DC2" w:rsidRPr="00357DC2">
        <w:rPr>
          <w:lang w:val="fr-FR"/>
        </w:rPr>
        <w:t>’</w:t>
      </w:r>
      <w:r w:rsidR="00E62839" w:rsidRPr="00357DC2">
        <w:rPr>
          <w:lang w:val="fr-FR"/>
        </w:rPr>
        <w:t>est</w:t>
      </w:r>
      <w:r w:rsidR="001A4172" w:rsidRPr="00357DC2">
        <w:rPr>
          <w:lang w:val="fr-FR"/>
        </w:rPr>
        <w:t xml:space="preserve"> termin</w:t>
      </w:r>
      <w:r w:rsidR="00E62839" w:rsidRPr="00357DC2">
        <w:rPr>
          <w:lang w:val="fr-FR"/>
        </w:rPr>
        <w:t>ée</w:t>
      </w:r>
      <w:r w:rsidR="001A4172" w:rsidRPr="00357DC2">
        <w:rPr>
          <w:lang w:val="fr-FR"/>
        </w:rPr>
        <w:t xml:space="preserve"> </w:t>
      </w:r>
      <w:r w:rsidR="00F4546C" w:rsidRPr="00357DC2">
        <w:rPr>
          <w:lang w:val="fr-FR"/>
        </w:rPr>
        <w:t>le 25</w:t>
      </w:r>
      <w:r w:rsidR="00601F13" w:rsidRPr="00357DC2">
        <w:rPr>
          <w:lang w:val="fr-FR"/>
        </w:rPr>
        <w:t> </w:t>
      </w:r>
      <w:r w:rsidR="00F4546C" w:rsidRPr="00357DC2">
        <w:rPr>
          <w:lang w:val="fr-FR"/>
        </w:rPr>
        <w:t>mai</w:t>
      </w:r>
      <w:r w:rsidR="003A4BAE" w:rsidRPr="00357DC2">
        <w:rPr>
          <w:lang w:val="fr-FR"/>
        </w:rPr>
        <w:t xml:space="preserve"> </w:t>
      </w:r>
      <w:r w:rsidR="00F4546C" w:rsidRPr="00357DC2">
        <w:rPr>
          <w:lang w:val="fr-FR"/>
        </w:rPr>
        <w:t xml:space="preserve">2009 </w:t>
      </w:r>
      <w:r w:rsidR="001A4172" w:rsidRPr="00357DC2">
        <w:rPr>
          <w:lang w:val="fr-FR"/>
        </w:rPr>
        <w:t>par un nouvel arrêt de condamnation.</w:t>
      </w:r>
      <w:r w:rsidR="00F4546C" w:rsidRPr="00357DC2">
        <w:rPr>
          <w:lang w:val="fr-FR"/>
        </w:rPr>
        <w:t xml:space="preserve"> Le requérant considère que la Cour de cassation a </w:t>
      </w:r>
      <w:r w:rsidR="006A3524" w:rsidRPr="00357DC2">
        <w:rPr>
          <w:lang w:val="fr-FR"/>
        </w:rPr>
        <w:t xml:space="preserve">une nouvelle fois </w:t>
      </w:r>
      <w:r w:rsidR="00F4546C" w:rsidRPr="00357DC2">
        <w:rPr>
          <w:lang w:val="fr-FR"/>
        </w:rPr>
        <w:t>enfreint l</w:t>
      </w:r>
      <w:r w:rsidR="00357DC2" w:rsidRPr="00357DC2">
        <w:rPr>
          <w:lang w:val="fr-FR"/>
        </w:rPr>
        <w:t>’</w:t>
      </w:r>
      <w:r w:rsidR="00F4546C" w:rsidRPr="00357DC2">
        <w:rPr>
          <w:lang w:val="fr-FR"/>
        </w:rPr>
        <w:t>article 6 de la Convention</w:t>
      </w:r>
      <w:r w:rsidR="006A3524" w:rsidRPr="00357DC2">
        <w:rPr>
          <w:lang w:val="fr-FR"/>
        </w:rPr>
        <w:t xml:space="preserve"> dans la mesure où elle n</w:t>
      </w:r>
      <w:r w:rsidR="00357DC2" w:rsidRPr="00357DC2">
        <w:rPr>
          <w:lang w:val="fr-FR"/>
        </w:rPr>
        <w:t>’</w:t>
      </w:r>
      <w:r w:rsidR="006A3524" w:rsidRPr="00357DC2">
        <w:rPr>
          <w:lang w:val="fr-FR"/>
        </w:rPr>
        <w:t>a</w:t>
      </w:r>
      <w:r w:rsidR="0030524C" w:rsidRPr="00357DC2">
        <w:rPr>
          <w:lang w:val="fr-FR"/>
        </w:rPr>
        <w:t>urait</w:t>
      </w:r>
      <w:r w:rsidR="006A3524" w:rsidRPr="00357DC2">
        <w:rPr>
          <w:lang w:val="fr-FR"/>
        </w:rPr>
        <w:t xml:space="preserve"> pas satisfait aux exigences du contradictoire et </w:t>
      </w:r>
      <w:r w:rsidR="00126178" w:rsidRPr="00357DC2">
        <w:rPr>
          <w:lang w:val="fr-FR"/>
        </w:rPr>
        <w:t>n</w:t>
      </w:r>
      <w:r w:rsidR="00357DC2" w:rsidRPr="00357DC2">
        <w:rPr>
          <w:lang w:val="fr-FR"/>
        </w:rPr>
        <w:t>’</w:t>
      </w:r>
      <w:r w:rsidR="00126178" w:rsidRPr="00357DC2">
        <w:rPr>
          <w:lang w:val="fr-FR"/>
        </w:rPr>
        <w:t>a</w:t>
      </w:r>
      <w:r w:rsidR="0030524C" w:rsidRPr="00357DC2">
        <w:rPr>
          <w:lang w:val="fr-FR"/>
        </w:rPr>
        <w:t>urait</w:t>
      </w:r>
      <w:r w:rsidR="00126178" w:rsidRPr="00357DC2">
        <w:rPr>
          <w:lang w:val="fr-FR"/>
        </w:rPr>
        <w:t xml:space="preserve"> pas garanti son droit à la défense.</w:t>
      </w:r>
    </w:p>
    <w:p w:rsidR="00B7026D" w:rsidRPr="00357DC2" w:rsidRDefault="00F4546C"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45</w:t>
      </w:r>
      <w:r w:rsidRPr="00357DC2">
        <w:rPr>
          <w:lang w:val="fr-FR"/>
        </w:rPr>
        <w:fldChar w:fldCharType="end"/>
      </w:r>
      <w:r w:rsidRPr="00357DC2">
        <w:rPr>
          <w:lang w:val="fr-FR"/>
        </w:rPr>
        <w:t>.  </w:t>
      </w:r>
      <w:r w:rsidR="00C37BC9" w:rsidRPr="00357DC2">
        <w:rPr>
          <w:lang w:val="fr-FR"/>
        </w:rPr>
        <w:t>Aux yeux de l</w:t>
      </w:r>
      <w:r w:rsidR="005A27FE" w:rsidRPr="00357DC2">
        <w:rPr>
          <w:lang w:val="fr-FR"/>
        </w:rPr>
        <w:t>a Co</w:t>
      </w:r>
      <w:r w:rsidR="00A25448" w:rsidRPr="00357DC2">
        <w:rPr>
          <w:lang w:val="fr-FR"/>
        </w:rPr>
        <w:t>ur</w:t>
      </w:r>
      <w:r w:rsidR="00C37BC9" w:rsidRPr="00357DC2">
        <w:rPr>
          <w:lang w:val="fr-FR"/>
        </w:rPr>
        <w:t>,</w:t>
      </w:r>
      <w:r w:rsidR="00A25448" w:rsidRPr="00357DC2">
        <w:rPr>
          <w:lang w:val="fr-FR"/>
        </w:rPr>
        <w:t xml:space="preserve"> </w:t>
      </w:r>
      <w:r w:rsidR="00C37BC9" w:rsidRPr="00357DC2">
        <w:rPr>
          <w:lang w:val="fr-FR"/>
        </w:rPr>
        <w:t xml:space="preserve">il ne fait pas de doute que </w:t>
      </w:r>
      <w:r w:rsidRPr="00357DC2">
        <w:rPr>
          <w:lang w:val="fr-FR"/>
        </w:rPr>
        <w:t>la</w:t>
      </w:r>
      <w:r w:rsidR="00A25448" w:rsidRPr="00357DC2">
        <w:rPr>
          <w:lang w:val="fr-FR"/>
        </w:rPr>
        <w:t xml:space="preserve"> procédure </w:t>
      </w:r>
      <w:r w:rsidR="00965311" w:rsidRPr="00357DC2">
        <w:rPr>
          <w:lang w:val="fr-FR"/>
        </w:rPr>
        <w:t xml:space="preserve">en cause </w:t>
      </w:r>
      <w:r w:rsidR="00B7026D" w:rsidRPr="00357DC2">
        <w:rPr>
          <w:lang w:val="fr-FR"/>
        </w:rPr>
        <w:t>est</w:t>
      </w:r>
      <w:r w:rsidR="00A25448" w:rsidRPr="00357DC2">
        <w:rPr>
          <w:lang w:val="fr-FR"/>
        </w:rPr>
        <w:t xml:space="preserve"> nouvelle </w:t>
      </w:r>
      <w:r w:rsidR="00E961E9" w:rsidRPr="00357DC2">
        <w:rPr>
          <w:lang w:val="fr-FR"/>
        </w:rPr>
        <w:t xml:space="preserve">et </w:t>
      </w:r>
      <w:r w:rsidR="00E62839" w:rsidRPr="00357DC2">
        <w:rPr>
          <w:lang w:val="fr-FR"/>
        </w:rPr>
        <w:t>qu</w:t>
      </w:r>
      <w:r w:rsidR="00357DC2" w:rsidRPr="00357DC2">
        <w:rPr>
          <w:lang w:val="fr-FR"/>
        </w:rPr>
        <w:t>’</w:t>
      </w:r>
      <w:r w:rsidR="00E62839" w:rsidRPr="00357DC2">
        <w:rPr>
          <w:lang w:val="fr-FR"/>
        </w:rPr>
        <w:t xml:space="preserve">elle est </w:t>
      </w:r>
      <w:r w:rsidR="00E961E9" w:rsidRPr="00357DC2">
        <w:rPr>
          <w:lang w:val="fr-FR"/>
        </w:rPr>
        <w:t xml:space="preserve">postérieure </w:t>
      </w:r>
      <w:r w:rsidR="00A25448" w:rsidRPr="00357DC2">
        <w:rPr>
          <w:lang w:val="fr-FR"/>
        </w:rPr>
        <w:t xml:space="preserve">à la procédure pénale </w:t>
      </w:r>
      <w:r w:rsidR="00584396" w:rsidRPr="00357DC2">
        <w:rPr>
          <w:lang w:val="fr-FR"/>
        </w:rPr>
        <w:t xml:space="preserve">objet </w:t>
      </w:r>
      <w:r w:rsidR="00B7026D" w:rsidRPr="00357DC2">
        <w:rPr>
          <w:lang w:val="fr-FR"/>
        </w:rPr>
        <w:t xml:space="preserve">de </w:t>
      </w:r>
      <w:r w:rsidR="00C37BC9" w:rsidRPr="00357DC2">
        <w:rPr>
          <w:lang w:val="fr-FR"/>
        </w:rPr>
        <w:t xml:space="preserve">son arrêt </w:t>
      </w:r>
      <w:r w:rsidR="00965311" w:rsidRPr="00357DC2">
        <w:rPr>
          <w:lang w:val="fr-FR"/>
        </w:rPr>
        <w:t xml:space="preserve">du 11 </w:t>
      </w:r>
      <w:r w:rsidR="00C37BC9" w:rsidRPr="00357DC2">
        <w:rPr>
          <w:lang w:val="fr-FR"/>
        </w:rPr>
        <w:t xml:space="preserve">décembre </w:t>
      </w:r>
      <w:r w:rsidR="00965311" w:rsidRPr="00357DC2">
        <w:rPr>
          <w:lang w:val="fr-FR"/>
        </w:rPr>
        <w:t>2007</w:t>
      </w:r>
      <w:r w:rsidR="00F05F3A" w:rsidRPr="00357DC2">
        <w:rPr>
          <w:lang w:val="fr-FR"/>
        </w:rPr>
        <w:t>, bien qu</w:t>
      </w:r>
      <w:r w:rsidR="00357DC2" w:rsidRPr="00357DC2">
        <w:rPr>
          <w:lang w:val="fr-FR"/>
        </w:rPr>
        <w:t>’</w:t>
      </w:r>
      <w:r w:rsidR="00F05F3A" w:rsidRPr="00357DC2">
        <w:rPr>
          <w:lang w:val="fr-FR"/>
        </w:rPr>
        <w:t>elle s</w:t>
      </w:r>
      <w:r w:rsidR="00357DC2" w:rsidRPr="00357DC2">
        <w:rPr>
          <w:lang w:val="fr-FR"/>
        </w:rPr>
        <w:t>’</w:t>
      </w:r>
      <w:r w:rsidR="00354AB9" w:rsidRPr="00357DC2">
        <w:rPr>
          <w:lang w:val="fr-FR"/>
        </w:rPr>
        <w:t xml:space="preserve">inscrive </w:t>
      </w:r>
      <w:r w:rsidR="00E961E9" w:rsidRPr="00357DC2">
        <w:rPr>
          <w:lang w:val="fr-FR"/>
        </w:rPr>
        <w:t xml:space="preserve">dans </w:t>
      </w:r>
      <w:r w:rsidR="007B06C3" w:rsidRPr="00357DC2">
        <w:rPr>
          <w:lang w:val="fr-FR"/>
        </w:rPr>
        <w:t xml:space="preserve">le cadre de </w:t>
      </w:r>
      <w:r w:rsidR="00354AB9" w:rsidRPr="00357DC2">
        <w:rPr>
          <w:lang w:val="fr-FR"/>
        </w:rPr>
        <w:t>l</w:t>
      </w:r>
      <w:r w:rsidR="00357DC2" w:rsidRPr="00357DC2">
        <w:rPr>
          <w:lang w:val="fr-FR"/>
        </w:rPr>
        <w:t>’</w:t>
      </w:r>
      <w:r w:rsidR="00E961E9" w:rsidRPr="00357DC2">
        <w:rPr>
          <w:lang w:val="fr-FR"/>
        </w:rPr>
        <w:t>exécution</w:t>
      </w:r>
      <w:r w:rsidR="00354AB9" w:rsidRPr="00357DC2">
        <w:rPr>
          <w:lang w:val="fr-FR"/>
        </w:rPr>
        <w:t xml:space="preserve"> de celui-ci</w:t>
      </w:r>
      <w:r w:rsidR="00E961E9" w:rsidRPr="00357DC2">
        <w:rPr>
          <w:lang w:val="fr-FR"/>
        </w:rPr>
        <w:t>.</w:t>
      </w:r>
    </w:p>
    <w:p w:rsidR="007A6B24" w:rsidRPr="00357DC2" w:rsidRDefault="001E7C5F"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46</w:t>
      </w:r>
      <w:r w:rsidRPr="00357DC2">
        <w:rPr>
          <w:lang w:val="fr-FR"/>
        </w:rPr>
        <w:fldChar w:fldCharType="end"/>
      </w:r>
      <w:r w:rsidRPr="00357DC2">
        <w:rPr>
          <w:lang w:val="fr-FR"/>
        </w:rPr>
        <w:t>.  </w:t>
      </w:r>
      <w:r w:rsidR="00F05F3A" w:rsidRPr="00357DC2">
        <w:rPr>
          <w:lang w:val="fr-FR"/>
        </w:rPr>
        <w:t>De plus</w:t>
      </w:r>
      <w:r w:rsidR="00B7026D" w:rsidRPr="00357DC2">
        <w:rPr>
          <w:lang w:val="fr-FR"/>
        </w:rPr>
        <w:t xml:space="preserve">, </w:t>
      </w:r>
      <w:r w:rsidR="00C37BC9" w:rsidRPr="00357DC2">
        <w:rPr>
          <w:lang w:val="fr-FR"/>
        </w:rPr>
        <w:t xml:space="preserve">la Cour </w:t>
      </w:r>
      <w:r w:rsidR="00B7026D" w:rsidRPr="00357DC2">
        <w:rPr>
          <w:lang w:val="fr-FR"/>
        </w:rPr>
        <w:t>observe que</w:t>
      </w:r>
      <w:r w:rsidR="00E62839" w:rsidRPr="00357DC2">
        <w:rPr>
          <w:lang w:val="fr-FR"/>
        </w:rPr>
        <w:t>,</w:t>
      </w:r>
      <w:r w:rsidR="00B7026D" w:rsidRPr="00357DC2">
        <w:rPr>
          <w:lang w:val="fr-FR"/>
        </w:rPr>
        <w:t xml:space="preserve"> </w:t>
      </w:r>
      <w:r w:rsidR="00C37BC9" w:rsidRPr="00357DC2">
        <w:rPr>
          <w:lang w:val="fr-FR"/>
        </w:rPr>
        <w:t>par</w:t>
      </w:r>
      <w:r w:rsidR="00570841" w:rsidRPr="00357DC2">
        <w:rPr>
          <w:lang w:val="fr-FR"/>
        </w:rPr>
        <w:t xml:space="preserve"> la </w:t>
      </w:r>
      <w:r w:rsidR="007B06C3" w:rsidRPr="00357DC2">
        <w:rPr>
          <w:lang w:val="fr-FR"/>
        </w:rPr>
        <w:t>R</w:t>
      </w:r>
      <w:r w:rsidR="00570841" w:rsidRPr="00357DC2">
        <w:rPr>
          <w:lang w:val="fr-FR"/>
        </w:rPr>
        <w:t>ésolution</w:t>
      </w:r>
      <w:r w:rsidRPr="00357DC2">
        <w:rPr>
          <w:lang w:val="fr-FR"/>
        </w:rPr>
        <w:t xml:space="preserve"> ResDH(2009)87</w:t>
      </w:r>
      <w:r w:rsidR="00570841" w:rsidRPr="00357DC2">
        <w:rPr>
          <w:lang w:val="fr-FR"/>
        </w:rPr>
        <w:t xml:space="preserve"> mettant fin à l</w:t>
      </w:r>
      <w:r w:rsidR="00357DC2" w:rsidRPr="00357DC2">
        <w:rPr>
          <w:lang w:val="fr-FR"/>
        </w:rPr>
        <w:t>’</w:t>
      </w:r>
      <w:r w:rsidR="00570841" w:rsidRPr="00357DC2">
        <w:rPr>
          <w:lang w:val="fr-FR"/>
        </w:rPr>
        <w:t>examen de la requête n</w:t>
      </w:r>
      <w:r w:rsidR="007A6B24" w:rsidRPr="00357DC2">
        <w:rPr>
          <w:vertAlign w:val="superscript"/>
          <w:lang w:val="fr-FR"/>
        </w:rPr>
        <w:t>o</w:t>
      </w:r>
      <w:r w:rsidR="00570841" w:rsidRPr="00357DC2">
        <w:rPr>
          <w:lang w:val="fr-FR"/>
        </w:rPr>
        <w:t xml:space="preserve"> 25575/04, le Co</w:t>
      </w:r>
      <w:r w:rsidR="00C37BC9" w:rsidRPr="00357DC2">
        <w:rPr>
          <w:lang w:val="fr-FR"/>
        </w:rPr>
        <w:t>mité</w:t>
      </w:r>
      <w:r w:rsidR="00570841" w:rsidRPr="00357DC2">
        <w:rPr>
          <w:lang w:val="fr-FR"/>
        </w:rPr>
        <w:t xml:space="preserve"> des </w:t>
      </w:r>
      <w:r w:rsidR="00C37BC9" w:rsidRPr="00357DC2">
        <w:rPr>
          <w:lang w:val="fr-FR"/>
        </w:rPr>
        <w:t>M</w:t>
      </w:r>
      <w:r w:rsidR="00570841" w:rsidRPr="00357DC2">
        <w:rPr>
          <w:lang w:val="fr-FR"/>
        </w:rPr>
        <w:t xml:space="preserve">inistres </w:t>
      </w:r>
      <w:r w:rsidR="00EF0E0E" w:rsidRPr="00357DC2">
        <w:rPr>
          <w:lang w:val="fr-FR"/>
        </w:rPr>
        <w:t xml:space="preserve">a </w:t>
      </w:r>
      <w:r w:rsidR="00570841" w:rsidRPr="00357DC2">
        <w:rPr>
          <w:lang w:val="fr-FR"/>
        </w:rPr>
        <w:t>pri</w:t>
      </w:r>
      <w:r w:rsidR="00741CDD" w:rsidRPr="00357DC2">
        <w:rPr>
          <w:lang w:val="fr-FR"/>
        </w:rPr>
        <w:t>s</w:t>
      </w:r>
      <w:r w:rsidR="00570841" w:rsidRPr="00357DC2">
        <w:rPr>
          <w:lang w:val="fr-FR"/>
        </w:rPr>
        <w:t xml:space="preserve"> acte </w:t>
      </w:r>
      <w:r w:rsidRPr="00357DC2">
        <w:rPr>
          <w:lang w:val="fr-FR"/>
        </w:rPr>
        <w:t xml:space="preserve">de </w:t>
      </w:r>
      <w:r w:rsidR="00741CDD" w:rsidRPr="00357DC2">
        <w:rPr>
          <w:lang w:val="fr-FR"/>
        </w:rPr>
        <w:t>l</w:t>
      </w:r>
      <w:r w:rsidR="00357DC2" w:rsidRPr="00357DC2">
        <w:rPr>
          <w:lang w:val="fr-FR"/>
        </w:rPr>
        <w:t>’</w:t>
      </w:r>
      <w:r w:rsidR="00741CDD" w:rsidRPr="00357DC2">
        <w:rPr>
          <w:lang w:val="fr-FR"/>
        </w:rPr>
        <w:t xml:space="preserve">ouverture </w:t>
      </w:r>
      <w:r w:rsidR="008B3B7C" w:rsidRPr="00357DC2">
        <w:rPr>
          <w:lang w:val="fr-FR"/>
        </w:rPr>
        <w:t>d</w:t>
      </w:r>
      <w:r w:rsidR="00357DC2" w:rsidRPr="00357DC2">
        <w:rPr>
          <w:lang w:val="fr-FR"/>
        </w:rPr>
        <w:t>’</w:t>
      </w:r>
      <w:r w:rsidR="008B3B7C" w:rsidRPr="00357DC2">
        <w:rPr>
          <w:lang w:val="fr-FR"/>
        </w:rPr>
        <w:t>une</w:t>
      </w:r>
      <w:r w:rsidR="00741CDD" w:rsidRPr="00357DC2">
        <w:rPr>
          <w:lang w:val="fr-FR"/>
        </w:rPr>
        <w:t xml:space="preserve"> procédure de réexamen</w:t>
      </w:r>
      <w:r w:rsidR="00BF1559" w:rsidRPr="00357DC2">
        <w:rPr>
          <w:lang w:val="fr-FR"/>
        </w:rPr>
        <w:t xml:space="preserve"> </w:t>
      </w:r>
      <w:r w:rsidR="00F4097A" w:rsidRPr="00357DC2">
        <w:rPr>
          <w:lang w:val="fr-FR"/>
        </w:rPr>
        <w:t>de l</w:t>
      </w:r>
      <w:r w:rsidR="00357DC2" w:rsidRPr="00357DC2">
        <w:rPr>
          <w:lang w:val="fr-FR"/>
        </w:rPr>
        <w:t>’</w:t>
      </w:r>
      <w:r w:rsidR="00F4097A" w:rsidRPr="00357DC2">
        <w:rPr>
          <w:lang w:val="fr-FR"/>
        </w:rPr>
        <w:t>affaire du requérant</w:t>
      </w:r>
      <w:r w:rsidR="00E62839" w:rsidRPr="00357DC2">
        <w:rPr>
          <w:lang w:val="fr-FR"/>
        </w:rPr>
        <w:t>,</w:t>
      </w:r>
      <w:r w:rsidR="00BF1559" w:rsidRPr="00357DC2">
        <w:rPr>
          <w:lang w:val="fr-FR"/>
        </w:rPr>
        <w:t xml:space="preserve"> </w:t>
      </w:r>
      <w:r w:rsidR="00C37BC9" w:rsidRPr="00357DC2">
        <w:rPr>
          <w:lang w:val="fr-FR"/>
        </w:rPr>
        <w:t xml:space="preserve">indiquant </w:t>
      </w:r>
      <w:r w:rsidR="00BF1559" w:rsidRPr="00357DC2">
        <w:rPr>
          <w:lang w:val="fr-FR"/>
        </w:rPr>
        <w:t>que</w:t>
      </w:r>
      <w:r w:rsidR="00E62839" w:rsidRPr="00357DC2">
        <w:rPr>
          <w:lang w:val="fr-FR"/>
        </w:rPr>
        <w:t>,</w:t>
      </w:r>
      <w:r w:rsidR="00BF1559" w:rsidRPr="00357DC2">
        <w:rPr>
          <w:lang w:val="fr-FR"/>
        </w:rPr>
        <w:t xml:space="preserve"> «</w:t>
      </w:r>
      <w:r w:rsidR="00E62839" w:rsidRPr="00357DC2">
        <w:rPr>
          <w:lang w:val="fr-FR"/>
        </w:rPr>
        <w:t> </w:t>
      </w:r>
      <w:r w:rsidR="00BF1559" w:rsidRPr="00357DC2">
        <w:rPr>
          <w:lang w:val="fr-FR"/>
        </w:rPr>
        <w:t xml:space="preserve">dans le cadre de </w:t>
      </w:r>
      <w:r w:rsidR="00E62839" w:rsidRPr="00357DC2">
        <w:rPr>
          <w:lang w:val="fr-FR"/>
        </w:rPr>
        <w:t xml:space="preserve">la </w:t>
      </w:r>
      <w:r w:rsidR="00BF1559" w:rsidRPr="00357DC2">
        <w:rPr>
          <w:lang w:val="fr-FR"/>
        </w:rPr>
        <w:t>nouvelle procédure</w:t>
      </w:r>
      <w:r w:rsidR="00E62839" w:rsidRPr="00357DC2">
        <w:rPr>
          <w:lang w:val="fr-FR"/>
        </w:rPr>
        <w:t xml:space="preserve">, </w:t>
      </w:r>
      <w:r w:rsidR="00BF1559" w:rsidRPr="00357DC2">
        <w:rPr>
          <w:lang w:val="fr-FR"/>
        </w:rPr>
        <w:t>la Cour de cassation ne manquera pas de prendre en compte les exigences de la Convention en matière de procès équitable »</w:t>
      </w:r>
      <w:r w:rsidR="008D303C" w:rsidRPr="00357DC2">
        <w:rPr>
          <w:lang w:val="fr-FR"/>
        </w:rPr>
        <w:t xml:space="preserve">. Ainsi, le Comité des Ministres </w:t>
      </w:r>
      <w:r w:rsidR="00E62839" w:rsidRPr="00357DC2">
        <w:rPr>
          <w:lang w:val="fr-FR"/>
        </w:rPr>
        <w:t xml:space="preserve">a </w:t>
      </w:r>
      <w:r w:rsidR="008D303C" w:rsidRPr="00357DC2">
        <w:rPr>
          <w:lang w:val="fr-FR"/>
        </w:rPr>
        <w:t>estim</w:t>
      </w:r>
      <w:r w:rsidR="00E62839" w:rsidRPr="00357DC2">
        <w:rPr>
          <w:lang w:val="fr-FR"/>
        </w:rPr>
        <w:t>é</w:t>
      </w:r>
      <w:r w:rsidR="008D303C" w:rsidRPr="00357DC2">
        <w:rPr>
          <w:lang w:val="fr-FR"/>
        </w:rPr>
        <w:t xml:space="preserve"> que le gouvernement italien s</w:t>
      </w:r>
      <w:r w:rsidR="00357DC2" w:rsidRPr="00357DC2">
        <w:rPr>
          <w:lang w:val="fr-FR"/>
        </w:rPr>
        <w:t>’</w:t>
      </w:r>
      <w:r w:rsidR="008D303C" w:rsidRPr="00357DC2">
        <w:rPr>
          <w:lang w:val="fr-FR"/>
        </w:rPr>
        <w:t>était acquitté de ses obligations</w:t>
      </w:r>
      <w:r w:rsidR="008B3B7C" w:rsidRPr="00357DC2">
        <w:rPr>
          <w:lang w:val="fr-FR"/>
        </w:rPr>
        <w:t xml:space="preserve"> et </w:t>
      </w:r>
      <w:r w:rsidR="00E62839" w:rsidRPr="00357DC2">
        <w:rPr>
          <w:lang w:val="fr-FR"/>
        </w:rPr>
        <w:t xml:space="preserve">il a </w:t>
      </w:r>
      <w:r w:rsidR="008B3B7C" w:rsidRPr="00357DC2">
        <w:rPr>
          <w:lang w:val="fr-FR"/>
        </w:rPr>
        <w:t>clôtur</w:t>
      </w:r>
      <w:r w:rsidR="00E62839" w:rsidRPr="00357DC2">
        <w:rPr>
          <w:lang w:val="fr-FR"/>
        </w:rPr>
        <w:t>é</w:t>
      </w:r>
      <w:r w:rsidR="008B3B7C" w:rsidRPr="00357DC2">
        <w:rPr>
          <w:lang w:val="fr-FR"/>
        </w:rPr>
        <w:t xml:space="preserve"> la procédure de surveillance</w:t>
      </w:r>
      <w:r w:rsidR="008D303C" w:rsidRPr="00357DC2">
        <w:rPr>
          <w:lang w:val="fr-FR"/>
        </w:rPr>
        <w:t xml:space="preserve"> sans prendre en compte l</w:t>
      </w:r>
      <w:r w:rsidR="00357DC2" w:rsidRPr="00357DC2">
        <w:rPr>
          <w:lang w:val="fr-FR"/>
        </w:rPr>
        <w:t>’</w:t>
      </w:r>
      <w:r w:rsidR="008D303C" w:rsidRPr="00357DC2">
        <w:rPr>
          <w:lang w:val="fr-FR"/>
        </w:rPr>
        <w:t xml:space="preserve">arrêt de la Cour de cassation du </w:t>
      </w:r>
      <w:r w:rsidR="00510057" w:rsidRPr="00357DC2">
        <w:rPr>
          <w:lang w:val="fr-FR"/>
        </w:rPr>
        <w:t xml:space="preserve">18 septembre 2009, </w:t>
      </w:r>
      <w:r w:rsidR="00C37BC9" w:rsidRPr="00357DC2">
        <w:rPr>
          <w:lang w:val="fr-FR"/>
        </w:rPr>
        <w:t>dont</w:t>
      </w:r>
      <w:r w:rsidR="008D303C" w:rsidRPr="00357DC2">
        <w:rPr>
          <w:lang w:val="fr-FR"/>
        </w:rPr>
        <w:t xml:space="preserve"> le Gouvernement </w:t>
      </w:r>
      <w:r w:rsidR="00C37BC9" w:rsidRPr="00357DC2">
        <w:rPr>
          <w:lang w:val="fr-FR"/>
        </w:rPr>
        <w:t>avait omis de l</w:t>
      </w:r>
      <w:r w:rsidR="00357DC2" w:rsidRPr="00357DC2">
        <w:rPr>
          <w:lang w:val="fr-FR"/>
        </w:rPr>
        <w:t>’</w:t>
      </w:r>
      <w:r w:rsidR="008D303C" w:rsidRPr="00357DC2">
        <w:rPr>
          <w:lang w:val="fr-FR"/>
        </w:rPr>
        <w:t>inform</w:t>
      </w:r>
      <w:r w:rsidR="00C37BC9" w:rsidRPr="00357DC2">
        <w:rPr>
          <w:lang w:val="fr-FR"/>
        </w:rPr>
        <w:t>er</w:t>
      </w:r>
      <w:r w:rsidR="008D303C" w:rsidRPr="00357DC2">
        <w:rPr>
          <w:lang w:val="fr-FR"/>
        </w:rPr>
        <w:t>.</w:t>
      </w:r>
    </w:p>
    <w:p w:rsidR="007A6B24" w:rsidRPr="00357DC2" w:rsidRDefault="008B3B7C"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47</w:t>
      </w:r>
      <w:r w:rsidRPr="00357DC2">
        <w:rPr>
          <w:lang w:val="fr-FR"/>
        </w:rPr>
        <w:fldChar w:fldCharType="end"/>
      </w:r>
      <w:r w:rsidRPr="00357DC2">
        <w:rPr>
          <w:lang w:val="fr-FR"/>
        </w:rPr>
        <w:t>.  </w:t>
      </w:r>
      <w:r w:rsidR="008D303C" w:rsidRPr="00357DC2">
        <w:rPr>
          <w:lang w:val="fr-FR"/>
        </w:rPr>
        <w:t>L</w:t>
      </w:r>
      <w:r w:rsidR="00357DC2" w:rsidRPr="00357DC2">
        <w:rPr>
          <w:lang w:val="fr-FR"/>
        </w:rPr>
        <w:t>’</w:t>
      </w:r>
      <w:r w:rsidR="008D303C" w:rsidRPr="00357DC2">
        <w:rPr>
          <w:lang w:val="fr-FR"/>
        </w:rPr>
        <w:t>examen du Comité des Ministres n</w:t>
      </w:r>
      <w:r w:rsidR="00357DC2" w:rsidRPr="00357DC2">
        <w:rPr>
          <w:lang w:val="fr-FR"/>
        </w:rPr>
        <w:t>’</w:t>
      </w:r>
      <w:r w:rsidR="008D303C" w:rsidRPr="00357DC2">
        <w:rPr>
          <w:lang w:val="fr-FR"/>
        </w:rPr>
        <w:t>a donc pas porté sur la décision judiciaire que le requérant conteste à présent devant la Cour et qui constitue d</w:t>
      </w:r>
      <w:r w:rsidR="00405E2F" w:rsidRPr="00357DC2">
        <w:rPr>
          <w:lang w:val="fr-FR"/>
        </w:rPr>
        <w:t>è</w:t>
      </w:r>
      <w:r w:rsidR="008D303C" w:rsidRPr="00357DC2">
        <w:rPr>
          <w:lang w:val="fr-FR"/>
        </w:rPr>
        <w:t>s lors, sous cet angle également, un élément nouveau</w:t>
      </w:r>
      <w:r w:rsidR="00B23FF6" w:rsidRPr="00357DC2">
        <w:rPr>
          <w:lang w:val="fr-FR"/>
        </w:rPr>
        <w:t>,</w:t>
      </w:r>
      <w:r w:rsidR="008D303C" w:rsidRPr="00357DC2">
        <w:rPr>
          <w:lang w:val="fr-FR"/>
        </w:rPr>
        <w:t xml:space="preserve"> qui ne saurait être soustrait à un contrôle au titre de la Convention.</w:t>
      </w:r>
    </w:p>
    <w:p w:rsidR="00FC6E84" w:rsidRPr="00357DC2" w:rsidRDefault="008D303C"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48</w:t>
      </w:r>
      <w:r w:rsidRPr="00357DC2">
        <w:rPr>
          <w:lang w:val="fr-FR"/>
        </w:rPr>
        <w:fldChar w:fldCharType="end"/>
      </w:r>
      <w:r w:rsidRPr="00357DC2">
        <w:rPr>
          <w:lang w:val="fr-FR"/>
        </w:rPr>
        <w:t>.  Partant, la Cour estime que l</w:t>
      </w:r>
      <w:r w:rsidR="00357DC2" w:rsidRPr="00357DC2">
        <w:rPr>
          <w:lang w:val="fr-FR"/>
        </w:rPr>
        <w:t>’</w:t>
      </w:r>
      <w:r w:rsidRPr="00357DC2">
        <w:rPr>
          <w:lang w:val="fr-FR"/>
        </w:rPr>
        <w:t>article 46 de la Convention ne fait pas obstacle à l</w:t>
      </w:r>
      <w:r w:rsidR="00357DC2" w:rsidRPr="00357DC2">
        <w:rPr>
          <w:lang w:val="fr-FR"/>
        </w:rPr>
        <w:t>’</w:t>
      </w:r>
      <w:r w:rsidRPr="00357DC2">
        <w:rPr>
          <w:lang w:val="fr-FR"/>
        </w:rPr>
        <w:t xml:space="preserve">examen par </w:t>
      </w:r>
      <w:r w:rsidR="00B23FF6" w:rsidRPr="00357DC2">
        <w:rPr>
          <w:lang w:val="fr-FR"/>
        </w:rPr>
        <w:t>elle</w:t>
      </w:r>
      <w:r w:rsidRPr="00357DC2">
        <w:rPr>
          <w:lang w:val="fr-FR"/>
        </w:rPr>
        <w:t xml:space="preserve"> des griefs nouveaux tirés </w:t>
      </w:r>
      <w:r w:rsidR="00D83F79" w:rsidRPr="00357DC2">
        <w:rPr>
          <w:lang w:val="fr-FR"/>
        </w:rPr>
        <w:t>de l</w:t>
      </w:r>
      <w:r w:rsidR="00357DC2" w:rsidRPr="00357DC2">
        <w:rPr>
          <w:lang w:val="fr-FR"/>
        </w:rPr>
        <w:t>’</w:t>
      </w:r>
      <w:r w:rsidR="00D83F79" w:rsidRPr="00357DC2">
        <w:rPr>
          <w:lang w:val="fr-FR"/>
        </w:rPr>
        <w:t>article 6 de la Convention.</w:t>
      </w:r>
    </w:p>
    <w:p w:rsidR="00640D35" w:rsidRPr="00357DC2" w:rsidRDefault="00640D35"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49</w:t>
      </w:r>
      <w:r w:rsidRPr="00357DC2">
        <w:rPr>
          <w:lang w:val="fr-FR"/>
        </w:rPr>
        <w:fldChar w:fldCharType="end"/>
      </w:r>
      <w:r w:rsidRPr="00357DC2">
        <w:rPr>
          <w:lang w:val="fr-FR"/>
        </w:rPr>
        <w:t xml:space="preserve">.  Par ailleurs, la Cour observe que </w:t>
      </w:r>
      <w:r w:rsidR="002176A9" w:rsidRPr="00357DC2">
        <w:rPr>
          <w:lang w:val="fr-FR"/>
        </w:rPr>
        <w:t xml:space="preserve">cette dernière </w:t>
      </w:r>
      <w:r w:rsidRPr="00357DC2">
        <w:rPr>
          <w:lang w:val="fr-FR"/>
        </w:rPr>
        <w:t>disposition trouve à s</w:t>
      </w:r>
      <w:r w:rsidR="00357DC2" w:rsidRPr="00357DC2">
        <w:rPr>
          <w:lang w:val="fr-FR"/>
        </w:rPr>
        <w:t>’</w:t>
      </w:r>
      <w:r w:rsidRPr="00357DC2">
        <w:rPr>
          <w:lang w:val="fr-FR"/>
        </w:rPr>
        <w:t xml:space="preserve">appliquer à la procédure litigieuse dans la mesure où </w:t>
      </w:r>
      <w:r w:rsidR="002176A9" w:rsidRPr="00357DC2">
        <w:rPr>
          <w:lang w:val="fr-FR"/>
        </w:rPr>
        <w:t>la Cour de Cassation devait se prononcer de nouveau sur le bien-fondé d</w:t>
      </w:r>
      <w:r w:rsidR="00357DC2" w:rsidRPr="00357DC2">
        <w:rPr>
          <w:lang w:val="fr-FR"/>
        </w:rPr>
        <w:t>’</w:t>
      </w:r>
      <w:r w:rsidR="002176A9" w:rsidRPr="00357DC2">
        <w:rPr>
          <w:lang w:val="fr-FR"/>
        </w:rPr>
        <w:t>une accusation en matière pénale suite à la réouverture de la procédure</w:t>
      </w:r>
      <w:r w:rsidRPr="00357DC2">
        <w:rPr>
          <w:lang w:val="fr-FR"/>
        </w:rPr>
        <w:t xml:space="preserve"> (</w:t>
      </w:r>
      <w:r w:rsidR="007E475A" w:rsidRPr="00357DC2">
        <w:rPr>
          <w:i/>
          <w:iCs/>
          <w:lang w:val="fr-FR"/>
        </w:rPr>
        <w:t>Moreira Ferreira c. </w:t>
      </w:r>
      <w:r w:rsidRPr="00357DC2">
        <w:rPr>
          <w:i/>
          <w:iCs/>
          <w:lang w:val="fr-FR"/>
        </w:rPr>
        <w:t>Portugal (n</w:t>
      </w:r>
      <w:r w:rsidRPr="00357DC2">
        <w:rPr>
          <w:i/>
          <w:vertAlign w:val="superscript"/>
          <w:lang w:val="fr-FR"/>
        </w:rPr>
        <w:t>o</w:t>
      </w:r>
      <w:r w:rsidRPr="00357DC2">
        <w:rPr>
          <w:i/>
          <w:iCs/>
          <w:lang w:val="fr-FR"/>
        </w:rPr>
        <w:t xml:space="preserve"> 2), </w:t>
      </w:r>
      <w:r w:rsidRPr="00357DC2">
        <w:rPr>
          <w:iCs/>
          <w:lang w:val="fr-FR"/>
        </w:rPr>
        <w:t xml:space="preserve">précité, </w:t>
      </w:r>
      <w:r w:rsidRPr="00357DC2">
        <w:rPr>
          <w:lang w:val="fr-FR"/>
        </w:rPr>
        <w:t>§ 60</w:t>
      </w:r>
      <w:r w:rsidR="004F1471" w:rsidRPr="00357DC2">
        <w:rPr>
          <w:lang w:val="fr-FR"/>
        </w:rPr>
        <w:t xml:space="preserve"> et </w:t>
      </w:r>
      <w:r w:rsidR="004F1471" w:rsidRPr="00357DC2">
        <w:rPr>
          <w:i/>
          <w:lang w:val="fr-FR"/>
        </w:rPr>
        <w:t>Nikitine c. Russie</w:t>
      </w:r>
      <w:r w:rsidR="004F1471" w:rsidRPr="00357DC2">
        <w:rPr>
          <w:lang w:val="fr-FR"/>
        </w:rPr>
        <w:t>, n</w:t>
      </w:r>
      <w:r w:rsidR="004F1471" w:rsidRPr="00357DC2">
        <w:rPr>
          <w:vertAlign w:val="superscript"/>
          <w:lang w:val="fr-FR"/>
        </w:rPr>
        <w:t>o</w:t>
      </w:r>
      <w:r w:rsidR="004F1471" w:rsidRPr="00357DC2">
        <w:rPr>
          <w:lang w:val="fr-FR"/>
        </w:rPr>
        <w:t xml:space="preserve"> 50178/99, § 60 </w:t>
      </w:r>
      <w:r w:rsidR="004F1471" w:rsidRPr="00357DC2">
        <w:rPr>
          <w:i/>
          <w:lang w:val="fr-FR"/>
        </w:rPr>
        <w:t>in fine</w:t>
      </w:r>
      <w:r w:rsidR="004F1471" w:rsidRPr="00357DC2">
        <w:rPr>
          <w:lang w:val="fr-FR"/>
        </w:rPr>
        <w:t>, CEDH 2004</w:t>
      </w:r>
      <w:r w:rsidR="004F1471" w:rsidRPr="00357DC2">
        <w:rPr>
          <w:lang w:val="fr-FR"/>
        </w:rPr>
        <w:noBreakHyphen/>
        <w:t>VIII</w:t>
      </w:r>
      <w:r w:rsidRPr="00357DC2">
        <w:rPr>
          <w:lang w:val="fr-FR"/>
        </w:rPr>
        <w:t>).</w:t>
      </w:r>
    </w:p>
    <w:p w:rsidR="00520396" w:rsidRPr="00357DC2" w:rsidRDefault="00ED73A2"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50</w:t>
      </w:r>
      <w:r w:rsidRPr="00357DC2">
        <w:rPr>
          <w:lang w:val="fr-FR"/>
        </w:rPr>
        <w:fldChar w:fldCharType="end"/>
      </w:r>
      <w:r w:rsidRPr="00357DC2">
        <w:rPr>
          <w:lang w:val="fr-FR"/>
        </w:rPr>
        <w:t>.  </w:t>
      </w:r>
      <w:r w:rsidR="00520396" w:rsidRPr="00357DC2">
        <w:rPr>
          <w:lang w:val="fr-FR"/>
        </w:rPr>
        <w:t xml:space="preserve">La Cour constate </w:t>
      </w:r>
      <w:r w:rsidR="00A376F2" w:rsidRPr="00357DC2">
        <w:rPr>
          <w:lang w:val="fr-FR"/>
        </w:rPr>
        <w:t xml:space="preserve">par ailleurs </w:t>
      </w:r>
      <w:r w:rsidR="00520396" w:rsidRPr="00357DC2">
        <w:rPr>
          <w:lang w:val="fr-FR"/>
        </w:rPr>
        <w:t>que la requête n</w:t>
      </w:r>
      <w:r w:rsidR="00357DC2" w:rsidRPr="00357DC2">
        <w:rPr>
          <w:lang w:val="fr-FR"/>
        </w:rPr>
        <w:t>’</w:t>
      </w:r>
      <w:r w:rsidR="00520396" w:rsidRPr="00357DC2">
        <w:rPr>
          <w:lang w:val="fr-FR"/>
        </w:rPr>
        <w:t>est pas manifestement mal fondée au sens de l</w:t>
      </w:r>
      <w:r w:rsidR="00357DC2" w:rsidRPr="00357DC2">
        <w:rPr>
          <w:lang w:val="fr-FR"/>
        </w:rPr>
        <w:t>’</w:t>
      </w:r>
      <w:r w:rsidR="00520396" w:rsidRPr="00357DC2">
        <w:rPr>
          <w:lang w:val="fr-FR"/>
        </w:rPr>
        <w:t>article 35 § 3 a) de la Convention et qu</w:t>
      </w:r>
      <w:r w:rsidR="00357DC2" w:rsidRPr="00357DC2">
        <w:rPr>
          <w:lang w:val="fr-FR"/>
        </w:rPr>
        <w:t>’</w:t>
      </w:r>
      <w:r w:rsidR="00520396" w:rsidRPr="00357DC2">
        <w:rPr>
          <w:lang w:val="fr-FR"/>
        </w:rPr>
        <w:t>elle ne se heurte à aucun autre motif d</w:t>
      </w:r>
      <w:r w:rsidR="00357DC2" w:rsidRPr="00357DC2">
        <w:rPr>
          <w:lang w:val="fr-FR"/>
        </w:rPr>
        <w:t>’</w:t>
      </w:r>
      <w:r w:rsidR="00520396" w:rsidRPr="00357DC2">
        <w:rPr>
          <w:lang w:val="fr-FR"/>
        </w:rPr>
        <w:t>irrecevabilité. Elle la déclare donc recevable.</w:t>
      </w:r>
    </w:p>
    <w:p w:rsidR="007A6B24" w:rsidRPr="00357DC2" w:rsidRDefault="00520396" w:rsidP="00357DC2">
      <w:pPr>
        <w:pStyle w:val="ECHRHeading2"/>
        <w:rPr>
          <w:lang w:val="fr-FR"/>
        </w:rPr>
      </w:pPr>
      <w:r w:rsidRPr="00357DC2">
        <w:rPr>
          <w:lang w:val="fr-FR"/>
        </w:rPr>
        <w:lastRenderedPageBreak/>
        <w:t xml:space="preserve">B.  Sur </w:t>
      </w:r>
      <w:r w:rsidR="00A10429" w:rsidRPr="00357DC2">
        <w:rPr>
          <w:lang w:val="fr-FR"/>
        </w:rPr>
        <w:t>le</w:t>
      </w:r>
      <w:r w:rsidR="00142EF1" w:rsidRPr="00357DC2">
        <w:rPr>
          <w:lang w:val="fr-FR"/>
        </w:rPr>
        <w:t xml:space="preserve"> fond</w:t>
      </w:r>
    </w:p>
    <w:p w:rsidR="009563EC" w:rsidRPr="00357DC2" w:rsidRDefault="009563EC" w:rsidP="00357DC2">
      <w:pPr>
        <w:pStyle w:val="ECHRHeading3"/>
        <w:rPr>
          <w:lang w:val="fr-FR"/>
        </w:rPr>
      </w:pPr>
      <w:r w:rsidRPr="00357DC2">
        <w:rPr>
          <w:lang w:val="fr-FR"/>
        </w:rPr>
        <w:t>1.  Arguments des parties</w:t>
      </w:r>
    </w:p>
    <w:p w:rsidR="00520396"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51</w:t>
      </w:r>
      <w:r w:rsidRPr="00357DC2">
        <w:rPr>
          <w:lang w:val="fr-FR"/>
        </w:rPr>
        <w:fldChar w:fldCharType="end"/>
      </w:r>
      <w:r w:rsidRPr="00357DC2">
        <w:rPr>
          <w:lang w:val="fr-FR"/>
        </w:rPr>
        <w:t>.  Le requérant allègue que, dans la procédure nationale qui a suivi l</w:t>
      </w:r>
      <w:r w:rsidR="00357DC2" w:rsidRPr="00357DC2">
        <w:rPr>
          <w:lang w:val="fr-FR"/>
        </w:rPr>
        <w:t>’</w:t>
      </w:r>
      <w:r w:rsidRPr="00357DC2">
        <w:rPr>
          <w:lang w:val="fr-FR"/>
        </w:rPr>
        <w:t xml:space="preserve">arrêt de violation de la Cour, ses droits de la défense </w:t>
      </w:r>
      <w:r w:rsidR="00E62839" w:rsidRPr="00357DC2">
        <w:rPr>
          <w:lang w:val="fr-FR"/>
        </w:rPr>
        <w:t xml:space="preserve">ont </w:t>
      </w:r>
      <w:r w:rsidRPr="00357DC2">
        <w:rPr>
          <w:lang w:val="fr-FR"/>
        </w:rPr>
        <w:t>été à nouveau violés, en pa</w:t>
      </w:r>
      <w:r w:rsidR="00601EAE" w:rsidRPr="00357DC2">
        <w:rPr>
          <w:lang w:val="fr-FR"/>
        </w:rPr>
        <w:t xml:space="preserve">rticulier le droit </w:t>
      </w:r>
      <w:r w:rsidR="00E7288B" w:rsidRPr="00357DC2">
        <w:rPr>
          <w:lang w:val="fr-FR"/>
        </w:rPr>
        <w:t xml:space="preserve">à </w:t>
      </w:r>
      <w:r w:rsidRPr="00357DC2">
        <w:rPr>
          <w:lang w:val="fr-FR"/>
        </w:rPr>
        <w:t>être informé en temps utile de la nature et des causes de l</w:t>
      </w:r>
      <w:r w:rsidR="00357DC2" w:rsidRPr="00357DC2">
        <w:rPr>
          <w:lang w:val="fr-FR"/>
        </w:rPr>
        <w:t>’</w:t>
      </w:r>
      <w:r w:rsidRPr="00357DC2">
        <w:rPr>
          <w:lang w:val="fr-FR"/>
        </w:rPr>
        <w:t xml:space="preserve">accusation portée contre lui </w:t>
      </w:r>
      <w:r w:rsidR="00E62839" w:rsidRPr="00357DC2">
        <w:rPr>
          <w:lang w:val="fr-FR"/>
        </w:rPr>
        <w:t xml:space="preserve">ainsi que </w:t>
      </w:r>
      <w:r w:rsidRPr="00357DC2">
        <w:rPr>
          <w:lang w:val="fr-FR"/>
        </w:rPr>
        <w:t>le droit à une défense effective. À cet égard, il se plaint d</w:t>
      </w:r>
      <w:r w:rsidR="00357DC2" w:rsidRPr="00357DC2">
        <w:rPr>
          <w:lang w:val="fr-FR"/>
        </w:rPr>
        <w:t>’</w:t>
      </w:r>
      <w:r w:rsidRPr="00357DC2">
        <w:rPr>
          <w:lang w:val="fr-FR"/>
        </w:rPr>
        <w:t>avoir été une nouvelle fois victime d</w:t>
      </w:r>
      <w:r w:rsidR="00357DC2" w:rsidRPr="00357DC2">
        <w:rPr>
          <w:lang w:val="fr-FR"/>
        </w:rPr>
        <w:t>’</w:t>
      </w:r>
      <w:r w:rsidRPr="00357DC2">
        <w:rPr>
          <w:lang w:val="fr-FR"/>
        </w:rPr>
        <w:t xml:space="preserve">une requalification des faits </w:t>
      </w:r>
      <w:r w:rsidRPr="00357DC2">
        <w:rPr>
          <w:i/>
          <w:lang w:val="fr-FR"/>
        </w:rPr>
        <w:t>in pejus</w:t>
      </w:r>
      <w:r w:rsidRPr="00357DC2">
        <w:rPr>
          <w:lang w:val="fr-FR"/>
        </w:rPr>
        <w:t xml:space="preserve"> de la part de la Cour de cassation, sans </w:t>
      </w:r>
      <w:r w:rsidR="00B23FF6" w:rsidRPr="00357DC2">
        <w:rPr>
          <w:lang w:val="fr-FR"/>
        </w:rPr>
        <w:t xml:space="preserve">disposer de </w:t>
      </w:r>
      <w:r w:rsidRPr="00357DC2">
        <w:rPr>
          <w:lang w:val="fr-FR"/>
        </w:rPr>
        <w:t xml:space="preserve">la possibilité de se défendre devant une juridiction de fond. De plus, il se plaint de ne pas avoir </w:t>
      </w:r>
      <w:r w:rsidR="00122143" w:rsidRPr="00357DC2">
        <w:rPr>
          <w:lang w:val="fr-FR"/>
        </w:rPr>
        <w:t>pu</w:t>
      </w:r>
      <w:r w:rsidRPr="00357DC2">
        <w:rPr>
          <w:lang w:val="fr-FR"/>
        </w:rPr>
        <w:t xml:space="preserve"> participer personnellement à son procès.</w:t>
      </w:r>
    </w:p>
    <w:p w:rsidR="007A6B24" w:rsidRPr="00357DC2" w:rsidRDefault="00520396"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52</w:t>
      </w:r>
      <w:r w:rsidRPr="00357DC2">
        <w:rPr>
          <w:lang w:val="fr-FR"/>
        </w:rPr>
        <w:fldChar w:fldCharType="end"/>
      </w:r>
      <w:r w:rsidRPr="00357DC2">
        <w:rPr>
          <w:lang w:val="fr-FR"/>
        </w:rPr>
        <w:t>.  </w:t>
      </w:r>
      <w:r w:rsidR="00EE7C19" w:rsidRPr="00357DC2">
        <w:rPr>
          <w:lang w:val="fr-FR"/>
        </w:rPr>
        <w:t xml:space="preserve">Concernant </w:t>
      </w:r>
      <w:r w:rsidR="003A0BD6" w:rsidRPr="00357DC2">
        <w:rPr>
          <w:lang w:val="fr-FR"/>
        </w:rPr>
        <w:t>son grief relatif au</w:t>
      </w:r>
      <w:r w:rsidR="00EE7C19" w:rsidRPr="00357DC2">
        <w:rPr>
          <w:lang w:val="fr-FR"/>
        </w:rPr>
        <w:t xml:space="preserve"> droit à être informé adéquatement de la nature et de la cause de l</w:t>
      </w:r>
      <w:r w:rsidR="00357DC2" w:rsidRPr="00357DC2">
        <w:rPr>
          <w:lang w:val="fr-FR"/>
        </w:rPr>
        <w:t>’</w:t>
      </w:r>
      <w:r w:rsidR="00EE7C19" w:rsidRPr="00357DC2">
        <w:rPr>
          <w:lang w:val="fr-FR"/>
        </w:rPr>
        <w:t>accusation, le requérant précise que sa doléance ne porte pas sur l</w:t>
      </w:r>
      <w:r w:rsidR="00357DC2" w:rsidRPr="00357DC2">
        <w:rPr>
          <w:lang w:val="fr-FR"/>
        </w:rPr>
        <w:t>’</w:t>
      </w:r>
      <w:r w:rsidR="00EE7C19" w:rsidRPr="00357DC2">
        <w:rPr>
          <w:lang w:val="fr-FR"/>
        </w:rPr>
        <w:t>absence d</w:t>
      </w:r>
      <w:r w:rsidR="00357DC2" w:rsidRPr="00357DC2">
        <w:rPr>
          <w:lang w:val="fr-FR"/>
        </w:rPr>
        <w:t>’</w:t>
      </w:r>
      <w:r w:rsidR="00EE7C19" w:rsidRPr="00357DC2">
        <w:rPr>
          <w:lang w:val="fr-FR"/>
        </w:rPr>
        <w:t xml:space="preserve">information quant à la possibilité que les faits soient requalifiés en corruption </w:t>
      </w:r>
      <w:r w:rsidR="00E62839" w:rsidRPr="00357DC2">
        <w:rPr>
          <w:lang w:val="fr-FR"/>
        </w:rPr>
        <w:t xml:space="preserve">dans des </w:t>
      </w:r>
      <w:r w:rsidR="00EE7C19" w:rsidRPr="00357DC2">
        <w:rPr>
          <w:lang w:val="fr-FR"/>
        </w:rPr>
        <w:t xml:space="preserve">actes judiciaires, mais sur les conditions dans lesquelles la requalification a </w:t>
      </w:r>
      <w:r w:rsidR="00E62839" w:rsidRPr="00357DC2">
        <w:rPr>
          <w:lang w:val="fr-FR"/>
        </w:rPr>
        <w:t>été faite,</w:t>
      </w:r>
      <w:r w:rsidR="00EE7C19" w:rsidRPr="00357DC2">
        <w:rPr>
          <w:lang w:val="fr-FR"/>
        </w:rPr>
        <w:t xml:space="preserve"> et sur l</w:t>
      </w:r>
      <w:r w:rsidR="00357DC2" w:rsidRPr="00357DC2">
        <w:rPr>
          <w:lang w:val="fr-FR"/>
        </w:rPr>
        <w:t>’</w:t>
      </w:r>
      <w:r w:rsidR="00EE7C19" w:rsidRPr="00357DC2">
        <w:rPr>
          <w:lang w:val="fr-FR"/>
        </w:rPr>
        <w:t>absence d</w:t>
      </w:r>
      <w:r w:rsidR="003A0BD6" w:rsidRPr="00357DC2">
        <w:rPr>
          <w:lang w:val="fr-FR"/>
        </w:rPr>
        <w:t>u</w:t>
      </w:r>
      <w:r w:rsidR="00EE7C19" w:rsidRPr="00357DC2">
        <w:rPr>
          <w:lang w:val="fr-FR"/>
        </w:rPr>
        <w:t xml:space="preserve"> temps et de</w:t>
      </w:r>
      <w:r w:rsidR="00E62839" w:rsidRPr="00357DC2">
        <w:rPr>
          <w:lang w:val="fr-FR"/>
        </w:rPr>
        <w:t>s</w:t>
      </w:r>
      <w:r w:rsidR="00EE7C19" w:rsidRPr="00357DC2">
        <w:rPr>
          <w:lang w:val="fr-FR"/>
        </w:rPr>
        <w:t xml:space="preserve"> facilités nécessaires </w:t>
      </w:r>
      <w:r w:rsidR="00E62839" w:rsidRPr="00357DC2">
        <w:rPr>
          <w:lang w:val="fr-FR"/>
        </w:rPr>
        <w:t>à la préparation de</w:t>
      </w:r>
      <w:r w:rsidR="00EE7C19" w:rsidRPr="00357DC2">
        <w:rPr>
          <w:lang w:val="fr-FR"/>
        </w:rPr>
        <w:t xml:space="preserve"> sa défense.</w:t>
      </w:r>
    </w:p>
    <w:p w:rsidR="00520396" w:rsidRPr="00357DC2" w:rsidRDefault="00EE7C19"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53</w:t>
      </w:r>
      <w:r w:rsidRPr="00357DC2">
        <w:rPr>
          <w:lang w:val="fr-FR"/>
        </w:rPr>
        <w:fldChar w:fldCharType="end"/>
      </w:r>
      <w:r w:rsidRPr="00357DC2">
        <w:rPr>
          <w:lang w:val="fr-FR"/>
        </w:rPr>
        <w:t>.  Il</w:t>
      </w:r>
      <w:r w:rsidR="00520396" w:rsidRPr="00357DC2">
        <w:rPr>
          <w:lang w:val="fr-FR"/>
        </w:rPr>
        <w:t xml:space="preserve"> fait observer que, contrairement </w:t>
      </w:r>
      <w:r w:rsidR="003A0BD6" w:rsidRPr="00357DC2">
        <w:rPr>
          <w:lang w:val="fr-FR"/>
        </w:rPr>
        <w:t>à ce que le</w:t>
      </w:r>
      <w:r w:rsidRPr="00357DC2">
        <w:rPr>
          <w:lang w:val="fr-FR"/>
        </w:rPr>
        <w:t xml:space="preserve"> Gouvernement</w:t>
      </w:r>
      <w:r w:rsidR="003A0BD6" w:rsidRPr="00357DC2">
        <w:rPr>
          <w:lang w:val="fr-FR"/>
        </w:rPr>
        <w:t xml:space="preserve"> affirmerait</w:t>
      </w:r>
      <w:r w:rsidRPr="00357DC2">
        <w:rPr>
          <w:lang w:val="fr-FR"/>
        </w:rPr>
        <w:t xml:space="preserve">, il </w:t>
      </w:r>
      <w:r w:rsidR="001A1CD4" w:rsidRPr="00357DC2">
        <w:rPr>
          <w:lang w:val="fr-FR"/>
        </w:rPr>
        <w:t>a demandé</w:t>
      </w:r>
      <w:r w:rsidR="00520396" w:rsidRPr="00357DC2">
        <w:rPr>
          <w:lang w:val="fr-FR"/>
        </w:rPr>
        <w:t xml:space="preserve"> à la Cour de cassation</w:t>
      </w:r>
      <w:r w:rsidR="00DF4970" w:rsidRPr="00357DC2">
        <w:rPr>
          <w:lang w:val="fr-FR"/>
        </w:rPr>
        <w:t xml:space="preserve"> </w:t>
      </w:r>
      <w:r w:rsidR="00520396" w:rsidRPr="00357DC2">
        <w:rPr>
          <w:lang w:val="fr-FR"/>
        </w:rPr>
        <w:t>l</w:t>
      </w:r>
      <w:r w:rsidR="00357DC2" w:rsidRPr="00357DC2">
        <w:rPr>
          <w:lang w:val="fr-FR"/>
        </w:rPr>
        <w:t>’</w:t>
      </w:r>
      <w:r w:rsidR="00520396" w:rsidRPr="00357DC2">
        <w:rPr>
          <w:lang w:val="fr-FR"/>
        </w:rPr>
        <w:t>octroi d</w:t>
      </w:r>
      <w:r w:rsidR="00357DC2" w:rsidRPr="00357DC2">
        <w:rPr>
          <w:lang w:val="fr-FR"/>
        </w:rPr>
        <w:t>’</w:t>
      </w:r>
      <w:r w:rsidR="00520396" w:rsidRPr="00357DC2">
        <w:rPr>
          <w:lang w:val="fr-FR"/>
        </w:rPr>
        <w:t xml:space="preserve">un délai pour </w:t>
      </w:r>
      <w:r w:rsidR="00DF4970" w:rsidRPr="00357DC2">
        <w:rPr>
          <w:lang w:val="fr-FR"/>
        </w:rPr>
        <w:t>préparer sa défense</w:t>
      </w:r>
      <w:r w:rsidR="003A0BD6" w:rsidRPr="00357DC2">
        <w:rPr>
          <w:lang w:val="fr-FR"/>
        </w:rPr>
        <w:t xml:space="preserve"> et qu</w:t>
      </w:r>
      <w:r w:rsidR="00357DC2" w:rsidRPr="00357DC2">
        <w:rPr>
          <w:lang w:val="fr-FR"/>
        </w:rPr>
        <w:t>’</w:t>
      </w:r>
      <w:r w:rsidR="003A0BD6" w:rsidRPr="00357DC2">
        <w:rPr>
          <w:lang w:val="fr-FR"/>
        </w:rPr>
        <w:t>il a e</w:t>
      </w:r>
      <w:r w:rsidR="00520396" w:rsidRPr="00357DC2">
        <w:rPr>
          <w:lang w:val="fr-FR"/>
        </w:rPr>
        <w:t xml:space="preserve">n outre revendiqué son droit </w:t>
      </w:r>
      <w:r w:rsidR="00E62839" w:rsidRPr="00357DC2">
        <w:rPr>
          <w:lang w:val="fr-FR"/>
        </w:rPr>
        <w:t xml:space="preserve">de </w:t>
      </w:r>
      <w:r w:rsidR="00520396" w:rsidRPr="00357DC2">
        <w:rPr>
          <w:lang w:val="fr-FR"/>
        </w:rPr>
        <w:t>participer aux débats</w:t>
      </w:r>
      <w:r w:rsidR="00667E3B" w:rsidRPr="00357DC2">
        <w:rPr>
          <w:lang w:val="fr-FR"/>
        </w:rPr>
        <w:t xml:space="preserve"> devant la </w:t>
      </w:r>
      <w:r w:rsidR="00331FCA" w:rsidRPr="00357DC2">
        <w:rPr>
          <w:lang w:val="fr-FR"/>
        </w:rPr>
        <w:t xml:space="preserve">Cour de </w:t>
      </w:r>
      <w:r w:rsidR="00667E3B" w:rsidRPr="00357DC2">
        <w:rPr>
          <w:lang w:val="fr-FR"/>
        </w:rPr>
        <w:t>cassation</w:t>
      </w:r>
      <w:r w:rsidR="00520396" w:rsidRPr="00357DC2">
        <w:rPr>
          <w:lang w:val="fr-FR"/>
        </w:rPr>
        <w:t>.</w:t>
      </w:r>
    </w:p>
    <w:p w:rsidR="00520396" w:rsidRPr="00357DC2" w:rsidRDefault="00520396" w:rsidP="00357DC2">
      <w:pPr>
        <w:pStyle w:val="ECHRPara"/>
        <w:rPr>
          <w:lang w:val="fr-FR" w:eastAsia="en-GB"/>
        </w:rPr>
      </w:pPr>
      <w:r w:rsidRPr="00357DC2">
        <w:rPr>
          <w:lang w:val="fr-FR" w:eastAsia="en-GB"/>
        </w:rPr>
        <w:fldChar w:fldCharType="begin"/>
      </w:r>
      <w:r w:rsidRPr="00357DC2">
        <w:rPr>
          <w:lang w:val="fr-FR" w:eastAsia="en-GB"/>
        </w:rPr>
        <w:instrText xml:space="preserve"> SEQ level0 \*arabic </w:instrText>
      </w:r>
      <w:r w:rsidRPr="00357DC2">
        <w:rPr>
          <w:lang w:val="fr-FR" w:eastAsia="en-GB"/>
        </w:rPr>
        <w:fldChar w:fldCharType="separate"/>
      </w:r>
      <w:r w:rsidR="00357DC2" w:rsidRPr="00357DC2">
        <w:rPr>
          <w:noProof/>
          <w:lang w:val="fr-FR" w:eastAsia="en-GB"/>
        </w:rPr>
        <w:t>54</w:t>
      </w:r>
      <w:r w:rsidRPr="00357DC2">
        <w:rPr>
          <w:lang w:val="fr-FR" w:eastAsia="en-GB"/>
        </w:rPr>
        <w:fldChar w:fldCharType="end"/>
      </w:r>
      <w:r w:rsidRPr="00357DC2">
        <w:rPr>
          <w:lang w:val="fr-FR" w:eastAsia="en-GB"/>
        </w:rPr>
        <w:t>.  Quoi qu</w:t>
      </w:r>
      <w:r w:rsidR="00357DC2" w:rsidRPr="00357DC2">
        <w:rPr>
          <w:lang w:val="fr-FR" w:eastAsia="en-GB"/>
        </w:rPr>
        <w:t>’</w:t>
      </w:r>
      <w:r w:rsidRPr="00357DC2">
        <w:rPr>
          <w:lang w:val="fr-FR" w:eastAsia="en-GB"/>
        </w:rPr>
        <w:t>il en soit,</w:t>
      </w:r>
      <w:r w:rsidR="00F65151" w:rsidRPr="00357DC2">
        <w:rPr>
          <w:lang w:val="fr-FR" w:eastAsia="en-GB"/>
        </w:rPr>
        <w:t xml:space="preserve"> le requérant considère qu</w:t>
      </w:r>
      <w:r w:rsidR="00357DC2" w:rsidRPr="00357DC2">
        <w:rPr>
          <w:lang w:val="fr-FR" w:eastAsia="en-GB"/>
        </w:rPr>
        <w:t>’</w:t>
      </w:r>
      <w:r w:rsidRPr="00357DC2">
        <w:rPr>
          <w:lang w:val="fr-FR" w:eastAsia="en-GB"/>
        </w:rPr>
        <w:t xml:space="preserve">on ne </w:t>
      </w:r>
      <w:r w:rsidR="003D5EDA" w:rsidRPr="00357DC2">
        <w:rPr>
          <w:lang w:val="fr-FR" w:eastAsia="en-GB"/>
        </w:rPr>
        <w:t xml:space="preserve">peut </w:t>
      </w:r>
      <w:r w:rsidRPr="00357DC2">
        <w:rPr>
          <w:lang w:val="fr-FR" w:eastAsia="en-GB"/>
        </w:rPr>
        <w:t xml:space="preserve">lui reprocher une éventuelle défaillance dans sa </w:t>
      </w:r>
      <w:r w:rsidR="004552BC" w:rsidRPr="00357DC2">
        <w:rPr>
          <w:lang w:val="fr-FR" w:eastAsia="en-GB"/>
        </w:rPr>
        <w:t xml:space="preserve">stratégie de </w:t>
      </w:r>
      <w:r w:rsidRPr="00357DC2">
        <w:rPr>
          <w:lang w:val="fr-FR" w:eastAsia="en-GB"/>
        </w:rPr>
        <w:t xml:space="preserve">défense dans la mesure </w:t>
      </w:r>
      <w:r w:rsidR="00EB2255" w:rsidRPr="00357DC2">
        <w:rPr>
          <w:lang w:val="fr-FR" w:eastAsia="en-GB"/>
        </w:rPr>
        <w:t xml:space="preserve">où </w:t>
      </w:r>
      <w:r w:rsidRPr="00357DC2">
        <w:rPr>
          <w:lang w:val="fr-FR" w:eastAsia="en-GB"/>
        </w:rPr>
        <w:t xml:space="preserve">il </w:t>
      </w:r>
      <w:r w:rsidR="003D5EDA" w:rsidRPr="00357DC2">
        <w:rPr>
          <w:lang w:val="fr-FR" w:eastAsia="en-GB"/>
        </w:rPr>
        <w:t xml:space="preserve">estime avoir </w:t>
      </w:r>
      <w:r w:rsidRPr="00357DC2">
        <w:rPr>
          <w:lang w:val="fr-FR" w:eastAsia="en-GB"/>
        </w:rPr>
        <w:t>été confronté à une procédure atypique et unique, à savoir l</w:t>
      </w:r>
      <w:r w:rsidR="00357DC2" w:rsidRPr="00357DC2">
        <w:rPr>
          <w:lang w:val="fr-FR" w:eastAsia="en-GB"/>
        </w:rPr>
        <w:t>’</w:t>
      </w:r>
      <w:r w:rsidRPr="00357DC2">
        <w:rPr>
          <w:lang w:val="fr-FR" w:eastAsia="en-GB"/>
        </w:rPr>
        <w:t>utilisation par analogie de la procédure de correction des erreurs matériel</w:t>
      </w:r>
      <w:r w:rsidR="00BF1559" w:rsidRPr="00357DC2">
        <w:rPr>
          <w:lang w:val="fr-FR" w:eastAsia="en-GB"/>
        </w:rPr>
        <w:t>le</w:t>
      </w:r>
      <w:r w:rsidRPr="00357DC2">
        <w:rPr>
          <w:lang w:val="fr-FR" w:eastAsia="en-GB"/>
        </w:rPr>
        <w:t>s, dans le cadre de laquelle il a</w:t>
      </w:r>
      <w:r w:rsidR="00E62839" w:rsidRPr="00357DC2">
        <w:rPr>
          <w:lang w:val="fr-FR" w:eastAsia="en-GB"/>
        </w:rPr>
        <w:t>urait</w:t>
      </w:r>
      <w:r w:rsidRPr="00357DC2">
        <w:rPr>
          <w:lang w:val="fr-FR" w:eastAsia="en-GB"/>
        </w:rPr>
        <w:t xml:space="preserve"> essayé de se prévaloir de toutes les prérogatives qui paraissaient disponibles au sens des dispositions de loi pertinentes</w:t>
      </w:r>
      <w:r w:rsidR="003D5EDA" w:rsidRPr="00357DC2">
        <w:rPr>
          <w:lang w:val="fr-FR" w:eastAsia="en-GB"/>
        </w:rPr>
        <w:t xml:space="preserve"> en l</w:t>
      </w:r>
      <w:r w:rsidR="00357DC2" w:rsidRPr="00357DC2">
        <w:rPr>
          <w:lang w:val="fr-FR" w:eastAsia="en-GB"/>
        </w:rPr>
        <w:t>’</w:t>
      </w:r>
      <w:r w:rsidR="003D5EDA" w:rsidRPr="00357DC2">
        <w:rPr>
          <w:lang w:val="fr-FR" w:eastAsia="en-GB"/>
        </w:rPr>
        <w:t>espèce</w:t>
      </w:r>
      <w:r w:rsidRPr="00357DC2">
        <w:rPr>
          <w:lang w:val="fr-FR" w:eastAsia="en-GB"/>
        </w:rPr>
        <w:t>.</w:t>
      </w:r>
    </w:p>
    <w:p w:rsidR="00BE6996" w:rsidRPr="00357DC2" w:rsidRDefault="00520396" w:rsidP="00357DC2">
      <w:pPr>
        <w:pStyle w:val="ECHRPara"/>
        <w:rPr>
          <w:lang w:val="fr-FR"/>
        </w:rPr>
      </w:pPr>
      <w:r w:rsidRPr="00357DC2">
        <w:rPr>
          <w:lang w:val="fr-FR" w:eastAsia="en-GB"/>
        </w:rPr>
        <w:fldChar w:fldCharType="begin"/>
      </w:r>
      <w:r w:rsidRPr="00357DC2">
        <w:rPr>
          <w:lang w:val="fr-FR" w:eastAsia="en-GB"/>
        </w:rPr>
        <w:instrText xml:space="preserve"> SEQ level0 \*arabic </w:instrText>
      </w:r>
      <w:r w:rsidRPr="00357DC2">
        <w:rPr>
          <w:lang w:val="fr-FR" w:eastAsia="en-GB"/>
        </w:rPr>
        <w:fldChar w:fldCharType="separate"/>
      </w:r>
      <w:r w:rsidR="00357DC2" w:rsidRPr="00357DC2">
        <w:rPr>
          <w:noProof/>
          <w:lang w:val="fr-FR" w:eastAsia="en-GB"/>
        </w:rPr>
        <w:t>55</w:t>
      </w:r>
      <w:r w:rsidRPr="00357DC2">
        <w:rPr>
          <w:lang w:val="fr-FR" w:eastAsia="en-GB"/>
        </w:rPr>
        <w:fldChar w:fldCharType="end"/>
      </w:r>
      <w:r w:rsidRPr="00357DC2">
        <w:rPr>
          <w:lang w:val="fr-FR" w:eastAsia="en-GB"/>
        </w:rPr>
        <w:t>.  </w:t>
      </w:r>
      <w:r w:rsidR="00DE63F8" w:rsidRPr="00357DC2">
        <w:rPr>
          <w:rFonts w:cstheme="minorHAnsi"/>
          <w:lang w:val="fr-FR"/>
        </w:rPr>
        <w:t>À</w:t>
      </w:r>
      <w:r w:rsidR="00EE7C19" w:rsidRPr="00357DC2">
        <w:rPr>
          <w:lang w:val="fr-FR"/>
        </w:rPr>
        <w:t xml:space="preserve"> cet égard, il </w:t>
      </w:r>
      <w:r w:rsidR="00E62839" w:rsidRPr="00357DC2">
        <w:rPr>
          <w:lang w:val="fr-FR"/>
        </w:rPr>
        <w:t>expose</w:t>
      </w:r>
      <w:r w:rsidR="00EE7C19" w:rsidRPr="00357DC2">
        <w:rPr>
          <w:lang w:val="fr-FR"/>
        </w:rPr>
        <w:t xml:space="preserve"> qu</w:t>
      </w:r>
      <w:r w:rsidR="00E62839" w:rsidRPr="00357DC2">
        <w:rPr>
          <w:lang w:val="fr-FR"/>
        </w:rPr>
        <w:t>e, eu égard aux</w:t>
      </w:r>
      <w:r w:rsidR="00EE7C19" w:rsidRPr="00357DC2">
        <w:rPr>
          <w:lang w:val="fr-FR"/>
        </w:rPr>
        <w:t xml:space="preserve"> circonstances, il </w:t>
      </w:r>
      <w:r w:rsidR="00EE7C19" w:rsidRPr="00357DC2">
        <w:rPr>
          <w:lang w:val="fr-FR" w:eastAsia="en-GB"/>
        </w:rPr>
        <w:t xml:space="preserve">était impossible de prévoir si la Cour de cassation </w:t>
      </w:r>
      <w:r w:rsidR="00E62839" w:rsidRPr="00357DC2">
        <w:rPr>
          <w:lang w:val="fr-FR" w:eastAsia="en-GB"/>
        </w:rPr>
        <w:t>donnerait</w:t>
      </w:r>
      <w:r w:rsidR="00EE7C19" w:rsidRPr="00357DC2">
        <w:rPr>
          <w:lang w:val="fr-FR" w:eastAsia="en-GB"/>
        </w:rPr>
        <w:t xml:space="preserve"> aux parties la possibilité de discuter seulement des questions de droit ou si elle </w:t>
      </w:r>
      <w:r w:rsidR="00E62839" w:rsidRPr="00357DC2">
        <w:rPr>
          <w:lang w:val="fr-FR" w:eastAsia="en-GB"/>
        </w:rPr>
        <w:t>ordonnerait</w:t>
      </w:r>
      <w:r w:rsidR="00EE7C19" w:rsidRPr="00357DC2">
        <w:rPr>
          <w:lang w:val="fr-FR" w:eastAsia="en-GB"/>
        </w:rPr>
        <w:t xml:space="preserve"> le renvoi devant un juge de fond.</w:t>
      </w:r>
    </w:p>
    <w:p w:rsidR="00520396" w:rsidRPr="00357DC2" w:rsidRDefault="0066596A"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56</w:t>
      </w:r>
      <w:r w:rsidRPr="00357DC2">
        <w:rPr>
          <w:lang w:val="fr-FR"/>
        </w:rPr>
        <w:fldChar w:fldCharType="end"/>
      </w:r>
      <w:r w:rsidRPr="00357DC2">
        <w:rPr>
          <w:lang w:val="fr-FR"/>
        </w:rPr>
        <w:t>.  </w:t>
      </w:r>
      <w:r w:rsidR="00EE7C19" w:rsidRPr="00357DC2">
        <w:rPr>
          <w:lang w:val="fr-FR"/>
        </w:rPr>
        <w:t xml:space="preserve">Le requérant </w:t>
      </w:r>
      <w:r w:rsidR="00E62839" w:rsidRPr="00357DC2">
        <w:rPr>
          <w:lang w:val="fr-FR"/>
        </w:rPr>
        <w:t>soutient</w:t>
      </w:r>
      <w:r w:rsidR="00EE7C19" w:rsidRPr="00357DC2">
        <w:rPr>
          <w:lang w:val="fr-FR"/>
        </w:rPr>
        <w:t xml:space="preserve"> également avoir été le seul justiciable victime de cette situation dans la mesure où, depuis 2011, il </w:t>
      </w:r>
      <w:r w:rsidR="00E62839" w:rsidRPr="00357DC2">
        <w:rPr>
          <w:lang w:val="fr-FR"/>
        </w:rPr>
        <w:t xml:space="preserve">serait </w:t>
      </w:r>
      <w:r w:rsidR="00EE7C19" w:rsidRPr="00357DC2">
        <w:rPr>
          <w:lang w:val="fr-FR"/>
        </w:rPr>
        <w:t>désormais possible de demander la révision d</w:t>
      </w:r>
      <w:r w:rsidR="00357DC2" w:rsidRPr="00357DC2">
        <w:rPr>
          <w:lang w:val="fr-FR"/>
        </w:rPr>
        <w:t>’</w:t>
      </w:r>
      <w:r w:rsidR="00EE7C19" w:rsidRPr="00357DC2">
        <w:rPr>
          <w:lang w:val="fr-FR"/>
        </w:rPr>
        <w:t>une condamnation sur la base d</w:t>
      </w:r>
      <w:r w:rsidR="00357DC2" w:rsidRPr="00357DC2">
        <w:rPr>
          <w:lang w:val="fr-FR"/>
        </w:rPr>
        <w:t>’</w:t>
      </w:r>
      <w:r w:rsidR="00EE7C19" w:rsidRPr="00357DC2">
        <w:rPr>
          <w:lang w:val="fr-FR"/>
        </w:rPr>
        <w:t>un arrêt de violation de la Cour</w:t>
      </w:r>
      <w:r w:rsidR="00E62839" w:rsidRPr="00357DC2">
        <w:rPr>
          <w:lang w:val="fr-FR"/>
        </w:rPr>
        <w:t>,</w:t>
      </w:r>
      <w:r w:rsidR="00EE7C19" w:rsidRPr="00357DC2">
        <w:rPr>
          <w:lang w:val="fr-FR"/>
        </w:rPr>
        <w:t xml:space="preserve"> et </w:t>
      </w:r>
      <w:r w:rsidR="00E62839" w:rsidRPr="00357DC2">
        <w:rPr>
          <w:lang w:val="fr-FR"/>
        </w:rPr>
        <w:t xml:space="preserve">de </w:t>
      </w:r>
      <w:r w:rsidR="00EE7C19" w:rsidRPr="00357DC2">
        <w:rPr>
          <w:lang w:val="fr-FR"/>
        </w:rPr>
        <w:t>bénéficier ainsi d</w:t>
      </w:r>
      <w:r w:rsidR="00357DC2" w:rsidRPr="00357DC2">
        <w:rPr>
          <w:lang w:val="fr-FR"/>
        </w:rPr>
        <w:t>’</w:t>
      </w:r>
      <w:r w:rsidR="00EE7C19" w:rsidRPr="00357DC2">
        <w:rPr>
          <w:lang w:val="fr-FR"/>
        </w:rPr>
        <w:t>une procédure menée devant une juridiction de fond et respectueuse des garanties de l</w:t>
      </w:r>
      <w:r w:rsidR="00357DC2" w:rsidRPr="00357DC2">
        <w:rPr>
          <w:lang w:val="fr-FR"/>
        </w:rPr>
        <w:t>’</w:t>
      </w:r>
      <w:r w:rsidR="00EE7C19" w:rsidRPr="00357DC2">
        <w:rPr>
          <w:lang w:val="fr-FR"/>
        </w:rPr>
        <w:t xml:space="preserve">article 6 </w:t>
      </w:r>
      <w:r w:rsidR="00E62839" w:rsidRPr="00357DC2">
        <w:rPr>
          <w:lang w:val="fr-FR"/>
        </w:rPr>
        <w:t xml:space="preserve">de la </w:t>
      </w:r>
      <w:r w:rsidR="00EE7C19" w:rsidRPr="00357DC2">
        <w:rPr>
          <w:lang w:val="fr-FR"/>
        </w:rPr>
        <w:t>Convention.</w:t>
      </w:r>
    </w:p>
    <w:p w:rsidR="00236E64" w:rsidRPr="00357DC2" w:rsidRDefault="003E345E" w:rsidP="00357DC2">
      <w:pPr>
        <w:pStyle w:val="ECHRPara"/>
        <w:keepNext/>
        <w:keepLines/>
        <w:rPr>
          <w:lang w:val="fr-FR" w:eastAsia="en-GB"/>
        </w:rPr>
      </w:pPr>
      <w:r w:rsidRPr="00357DC2">
        <w:rPr>
          <w:lang w:val="fr-FR" w:eastAsia="en-GB"/>
        </w:rPr>
        <w:lastRenderedPageBreak/>
        <w:fldChar w:fldCharType="begin"/>
      </w:r>
      <w:r w:rsidRPr="00357DC2">
        <w:rPr>
          <w:lang w:val="fr-FR" w:eastAsia="en-GB"/>
        </w:rPr>
        <w:instrText xml:space="preserve"> SEQ level0 \*arabic </w:instrText>
      </w:r>
      <w:r w:rsidRPr="00357DC2">
        <w:rPr>
          <w:lang w:val="fr-FR" w:eastAsia="en-GB"/>
        </w:rPr>
        <w:fldChar w:fldCharType="separate"/>
      </w:r>
      <w:r w:rsidR="00357DC2" w:rsidRPr="00357DC2">
        <w:rPr>
          <w:noProof/>
          <w:lang w:val="fr-FR" w:eastAsia="en-GB"/>
        </w:rPr>
        <w:t>57</w:t>
      </w:r>
      <w:r w:rsidRPr="00357DC2">
        <w:rPr>
          <w:lang w:val="fr-FR" w:eastAsia="en-GB"/>
        </w:rPr>
        <w:fldChar w:fldCharType="end"/>
      </w:r>
      <w:r w:rsidRPr="00357DC2">
        <w:rPr>
          <w:lang w:val="fr-FR" w:eastAsia="en-GB"/>
        </w:rPr>
        <w:t>.  </w:t>
      </w:r>
      <w:r w:rsidR="0082727E" w:rsidRPr="00357DC2">
        <w:rPr>
          <w:lang w:val="fr-FR" w:eastAsia="en-GB"/>
        </w:rPr>
        <w:t xml:space="preserve">Le requérant </w:t>
      </w:r>
      <w:r w:rsidR="006C18A0" w:rsidRPr="00357DC2">
        <w:rPr>
          <w:lang w:val="fr-FR" w:eastAsia="en-GB"/>
        </w:rPr>
        <w:t>indique</w:t>
      </w:r>
      <w:r w:rsidR="0082727E" w:rsidRPr="00357DC2">
        <w:rPr>
          <w:lang w:val="fr-FR" w:eastAsia="en-GB"/>
        </w:rPr>
        <w:t xml:space="preserve"> </w:t>
      </w:r>
      <w:r w:rsidR="0039758C" w:rsidRPr="00357DC2">
        <w:rPr>
          <w:lang w:val="fr-FR" w:eastAsia="en-GB"/>
        </w:rPr>
        <w:t xml:space="preserve">en outre </w:t>
      </w:r>
      <w:r w:rsidR="0082727E" w:rsidRPr="00357DC2">
        <w:rPr>
          <w:lang w:val="fr-FR" w:eastAsia="en-GB"/>
        </w:rPr>
        <w:t>que la requalification de l</w:t>
      </w:r>
      <w:r w:rsidR="00357DC2" w:rsidRPr="00357DC2">
        <w:rPr>
          <w:lang w:val="fr-FR" w:eastAsia="en-GB"/>
        </w:rPr>
        <w:t>’</w:t>
      </w:r>
      <w:r w:rsidR="0082727E" w:rsidRPr="00357DC2">
        <w:rPr>
          <w:lang w:val="fr-FR" w:eastAsia="en-GB"/>
        </w:rPr>
        <w:t xml:space="preserve">accusation a comporté une nouvelle appréciation des faits. </w:t>
      </w:r>
      <w:r w:rsidRPr="00357DC2">
        <w:rPr>
          <w:lang w:val="fr-FR" w:eastAsia="en-GB"/>
        </w:rPr>
        <w:t>Or</w:t>
      </w:r>
      <w:r w:rsidR="006C18A0" w:rsidRPr="00357DC2">
        <w:rPr>
          <w:lang w:val="fr-FR" w:eastAsia="en-GB"/>
        </w:rPr>
        <w:t xml:space="preserve"> il estime que</w:t>
      </w:r>
      <w:r w:rsidRPr="00357DC2">
        <w:rPr>
          <w:lang w:val="fr-FR" w:eastAsia="en-GB"/>
        </w:rPr>
        <w:t xml:space="preserve"> </w:t>
      </w:r>
      <w:r w:rsidR="0082727E" w:rsidRPr="00357DC2">
        <w:rPr>
          <w:lang w:val="fr-FR" w:eastAsia="en-GB"/>
        </w:rPr>
        <w:t xml:space="preserve">la réouverture des débats </w:t>
      </w:r>
      <w:r w:rsidRPr="00357DC2">
        <w:rPr>
          <w:lang w:val="fr-FR" w:eastAsia="en-GB"/>
        </w:rPr>
        <w:t>aurait</w:t>
      </w:r>
      <w:r w:rsidR="0082727E" w:rsidRPr="00357DC2">
        <w:rPr>
          <w:lang w:val="fr-FR" w:eastAsia="en-GB"/>
        </w:rPr>
        <w:t xml:space="preserve"> été la seule option respectueuse de son droit à une défense effective</w:t>
      </w:r>
      <w:r w:rsidR="006C18A0" w:rsidRPr="00357DC2">
        <w:rPr>
          <w:lang w:val="fr-FR" w:eastAsia="en-GB"/>
        </w:rPr>
        <w:t>,</w:t>
      </w:r>
      <w:r w:rsidR="0082727E" w:rsidRPr="00357DC2">
        <w:rPr>
          <w:lang w:val="fr-FR" w:eastAsia="en-GB"/>
        </w:rPr>
        <w:t xml:space="preserve"> dans la mesure où</w:t>
      </w:r>
      <w:r w:rsidR="006C18A0" w:rsidRPr="00357DC2">
        <w:rPr>
          <w:lang w:val="fr-FR" w:eastAsia="en-GB"/>
        </w:rPr>
        <w:t>, selon lui,</w:t>
      </w:r>
      <w:r w:rsidR="0082727E" w:rsidRPr="00357DC2">
        <w:rPr>
          <w:lang w:val="fr-FR" w:eastAsia="en-GB"/>
        </w:rPr>
        <w:t xml:space="preserve"> elle aurait permis de présenter de nouveaux moyens de preuve </w:t>
      </w:r>
      <w:r w:rsidR="00C15098" w:rsidRPr="00357DC2">
        <w:rPr>
          <w:lang w:val="fr-FR" w:eastAsia="en-GB"/>
        </w:rPr>
        <w:t>à l</w:t>
      </w:r>
      <w:r w:rsidR="00357DC2" w:rsidRPr="00357DC2">
        <w:rPr>
          <w:lang w:val="fr-FR" w:eastAsia="en-GB"/>
        </w:rPr>
        <w:t>’</w:t>
      </w:r>
      <w:r w:rsidR="00C15098" w:rsidRPr="00357DC2">
        <w:rPr>
          <w:lang w:val="fr-FR" w:eastAsia="en-GB"/>
        </w:rPr>
        <w:t>appui de</w:t>
      </w:r>
      <w:r w:rsidR="0082727E" w:rsidRPr="00357DC2">
        <w:rPr>
          <w:lang w:val="fr-FR" w:eastAsia="en-GB"/>
        </w:rPr>
        <w:t xml:space="preserve"> sa défense.</w:t>
      </w:r>
      <w:r w:rsidR="00EE7C19" w:rsidRPr="00357DC2">
        <w:rPr>
          <w:lang w:val="fr-FR" w:eastAsia="en-GB"/>
        </w:rPr>
        <w:t xml:space="preserve"> </w:t>
      </w:r>
      <w:r w:rsidR="006C18A0" w:rsidRPr="00357DC2">
        <w:rPr>
          <w:lang w:val="fr-FR" w:eastAsia="en-GB"/>
        </w:rPr>
        <w:t>Il</w:t>
      </w:r>
      <w:r w:rsidR="00236E64" w:rsidRPr="00357DC2">
        <w:rPr>
          <w:lang w:val="fr-FR" w:eastAsia="en-GB"/>
        </w:rPr>
        <w:t xml:space="preserve"> </w:t>
      </w:r>
      <w:r w:rsidR="006C18A0" w:rsidRPr="00357DC2">
        <w:rPr>
          <w:lang w:val="fr-FR" w:eastAsia="en-GB"/>
        </w:rPr>
        <w:t>est d</w:t>
      </w:r>
      <w:r w:rsidR="00357DC2" w:rsidRPr="00357DC2">
        <w:rPr>
          <w:lang w:val="fr-FR" w:eastAsia="en-GB"/>
        </w:rPr>
        <w:t>’</w:t>
      </w:r>
      <w:r w:rsidR="006C18A0" w:rsidRPr="00357DC2">
        <w:rPr>
          <w:lang w:val="fr-FR" w:eastAsia="en-GB"/>
        </w:rPr>
        <w:t xml:space="preserve">avis </w:t>
      </w:r>
      <w:r w:rsidR="00236E64" w:rsidRPr="00357DC2">
        <w:rPr>
          <w:lang w:val="fr-FR" w:eastAsia="en-GB"/>
        </w:rPr>
        <w:t>que la Cour de cassation aurait dû décider d</w:t>
      </w:r>
      <w:r w:rsidR="00357DC2" w:rsidRPr="00357DC2">
        <w:rPr>
          <w:lang w:val="fr-FR" w:eastAsia="en-GB"/>
        </w:rPr>
        <w:t>’</w:t>
      </w:r>
      <w:r w:rsidR="00236E64" w:rsidRPr="00357DC2">
        <w:rPr>
          <w:lang w:val="fr-FR" w:eastAsia="en-GB"/>
        </w:rPr>
        <w:t xml:space="preserve">office le renvoi de la procédure devant la cour </w:t>
      </w:r>
      <w:r w:rsidR="00EE7C19" w:rsidRPr="00357DC2">
        <w:rPr>
          <w:lang w:val="fr-FR" w:eastAsia="en-GB"/>
        </w:rPr>
        <w:t>d</w:t>
      </w:r>
      <w:r w:rsidR="00357DC2" w:rsidRPr="00357DC2">
        <w:rPr>
          <w:lang w:val="fr-FR" w:eastAsia="en-GB"/>
        </w:rPr>
        <w:t>’</w:t>
      </w:r>
      <w:r w:rsidR="00EE7C19" w:rsidRPr="00357DC2">
        <w:rPr>
          <w:lang w:val="fr-FR" w:eastAsia="en-GB"/>
        </w:rPr>
        <w:t>appel</w:t>
      </w:r>
      <w:r w:rsidR="00236E64" w:rsidRPr="00357DC2">
        <w:rPr>
          <w:lang w:val="fr-FR" w:eastAsia="en-GB"/>
        </w:rPr>
        <w:t>, même en l</w:t>
      </w:r>
      <w:r w:rsidR="00357DC2" w:rsidRPr="00357DC2">
        <w:rPr>
          <w:lang w:val="fr-FR" w:eastAsia="en-GB"/>
        </w:rPr>
        <w:t>’</w:t>
      </w:r>
      <w:r w:rsidR="00236E64" w:rsidRPr="00357DC2">
        <w:rPr>
          <w:lang w:val="fr-FR" w:eastAsia="en-GB"/>
        </w:rPr>
        <w:t>absence d</w:t>
      </w:r>
      <w:r w:rsidR="00357DC2" w:rsidRPr="00357DC2">
        <w:rPr>
          <w:lang w:val="fr-FR" w:eastAsia="en-GB"/>
        </w:rPr>
        <w:t>’</w:t>
      </w:r>
      <w:r w:rsidR="00236E64" w:rsidRPr="00357DC2">
        <w:rPr>
          <w:lang w:val="fr-FR" w:eastAsia="en-GB"/>
        </w:rPr>
        <w:t>une demande explicite en ce sens.</w:t>
      </w:r>
    </w:p>
    <w:p w:rsidR="008A737C" w:rsidRPr="00357DC2" w:rsidRDefault="008A737C"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58</w:t>
      </w:r>
      <w:r w:rsidRPr="00357DC2">
        <w:rPr>
          <w:lang w:val="fr-FR"/>
        </w:rPr>
        <w:fldChar w:fldCharType="end"/>
      </w:r>
      <w:r w:rsidR="00152C28" w:rsidRPr="00357DC2">
        <w:rPr>
          <w:lang w:val="fr-FR"/>
        </w:rPr>
        <w:t>.  </w:t>
      </w:r>
      <w:r w:rsidRPr="00357DC2">
        <w:rPr>
          <w:lang w:val="fr-FR"/>
        </w:rPr>
        <w:t>En</w:t>
      </w:r>
      <w:r w:rsidR="0039758C" w:rsidRPr="00357DC2">
        <w:rPr>
          <w:lang w:val="fr-FR"/>
        </w:rPr>
        <w:t>fin</w:t>
      </w:r>
      <w:r w:rsidRPr="00357DC2">
        <w:rPr>
          <w:lang w:val="fr-FR"/>
        </w:rPr>
        <w:t xml:space="preserve">, le </w:t>
      </w:r>
      <w:r w:rsidR="00C15098" w:rsidRPr="00357DC2">
        <w:rPr>
          <w:lang w:val="fr-FR"/>
        </w:rPr>
        <w:t xml:space="preserve">requérant considère que la procédure devant la Cour de cassation a </w:t>
      </w:r>
      <w:r w:rsidR="006C18A0" w:rsidRPr="00357DC2">
        <w:rPr>
          <w:lang w:val="fr-FR"/>
        </w:rPr>
        <w:t xml:space="preserve">porté atteinte à </w:t>
      </w:r>
      <w:r w:rsidR="00C15098" w:rsidRPr="00357DC2">
        <w:rPr>
          <w:lang w:val="fr-FR"/>
        </w:rPr>
        <w:t xml:space="preserve">son droit à un procès équitable </w:t>
      </w:r>
      <w:r w:rsidR="006C18A0" w:rsidRPr="00357DC2">
        <w:rPr>
          <w:lang w:val="fr-FR"/>
        </w:rPr>
        <w:t>également au motif</w:t>
      </w:r>
      <w:r w:rsidR="00C15098" w:rsidRPr="00357DC2">
        <w:rPr>
          <w:lang w:val="fr-FR"/>
        </w:rPr>
        <w:t xml:space="preserve"> que, malgré ses sollicitation</w:t>
      </w:r>
      <w:r w:rsidR="0039758C" w:rsidRPr="00357DC2">
        <w:rPr>
          <w:lang w:val="fr-FR"/>
        </w:rPr>
        <w:t>s</w:t>
      </w:r>
      <w:r w:rsidR="00C15098" w:rsidRPr="00357DC2">
        <w:rPr>
          <w:lang w:val="fr-FR"/>
        </w:rPr>
        <w:t xml:space="preserve"> en ce sens, il n</w:t>
      </w:r>
      <w:r w:rsidR="00357DC2" w:rsidRPr="00357DC2">
        <w:rPr>
          <w:lang w:val="fr-FR"/>
        </w:rPr>
        <w:t>’</w:t>
      </w:r>
      <w:r w:rsidR="00C15098" w:rsidRPr="00357DC2">
        <w:rPr>
          <w:lang w:val="fr-FR"/>
        </w:rPr>
        <w:t>a pas pu être présent à l</w:t>
      </w:r>
      <w:r w:rsidR="00357DC2" w:rsidRPr="00357DC2">
        <w:rPr>
          <w:lang w:val="fr-FR"/>
        </w:rPr>
        <w:t>’</w:t>
      </w:r>
      <w:r w:rsidR="00C15098" w:rsidRPr="00357DC2">
        <w:rPr>
          <w:lang w:val="fr-FR"/>
        </w:rPr>
        <w:t>audience</w:t>
      </w:r>
      <w:r w:rsidR="00953DDC" w:rsidRPr="00357DC2">
        <w:rPr>
          <w:lang w:val="fr-FR"/>
        </w:rPr>
        <w:t>.</w:t>
      </w:r>
    </w:p>
    <w:p w:rsidR="002B7F37" w:rsidRPr="00357DC2" w:rsidRDefault="008430A3"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59</w:t>
      </w:r>
      <w:r w:rsidRPr="00357DC2">
        <w:rPr>
          <w:lang w:val="fr-FR"/>
        </w:rPr>
        <w:fldChar w:fldCharType="end"/>
      </w:r>
      <w:r w:rsidRPr="00357DC2">
        <w:rPr>
          <w:lang w:val="fr-FR"/>
        </w:rPr>
        <w:t xml:space="preserve">.  Le Gouvernement </w:t>
      </w:r>
      <w:r w:rsidR="002B7F37" w:rsidRPr="00357DC2">
        <w:rPr>
          <w:lang w:val="fr-FR"/>
        </w:rPr>
        <w:t>considère tout d</w:t>
      </w:r>
      <w:r w:rsidR="00357DC2" w:rsidRPr="00357DC2">
        <w:rPr>
          <w:lang w:val="fr-FR"/>
        </w:rPr>
        <w:t>’</w:t>
      </w:r>
      <w:r w:rsidR="002B7F37" w:rsidRPr="00357DC2">
        <w:rPr>
          <w:lang w:val="fr-FR"/>
        </w:rPr>
        <w:t xml:space="preserve">abord que les doléances du requérant relèvent de la quatrième instance </w:t>
      </w:r>
      <w:r w:rsidR="002E1034" w:rsidRPr="00357DC2">
        <w:rPr>
          <w:lang w:val="fr-FR"/>
        </w:rPr>
        <w:t>au motif qu</w:t>
      </w:r>
      <w:r w:rsidR="00357DC2" w:rsidRPr="00357DC2">
        <w:rPr>
          <w:lang w:val="fr-FR"/>
        </w:rPr>
        <w:t>’</w:t>
      </w:r>
      <w:r w:rsidR="002B7F37" w:rsidRPr="00357DC2">
        <w:rPr>
          <w:lang w:val="fr-FR"/>
        </w:rPr>
        <w:t>elles ont déjà fait l</w:t>
      </w:r>
      <w:r w:rsidR="00357DC2" w:rsidRPr="00357DC2">
        <w:rPr>
          <w:lang w:val="fr-FR"/>
        </w:rPr>
        <w:t>’</w:t>
      </w:r>
      <w:r w:rsidR="002B7F37" w:rsidRPr="00357DC2">
        <w:rPr>
          <w:lang w:val="fr-FR"/>
        </w:rPr>
        <w:t>objet d</w:t>
      </w:r>
      <w:r w:rsidR="00357DC2" w:rsidRPr="00357DC2">
        <w:rPr>
          <w:lang w:val="fr-FR"/>
        </w:rPr>
        <w:t>’</w:t>
      </w:r>
      <w:r w:rsidR="00165181" w:rsidRPr="00357DC2">
        <w:rPr>
          <w:lang w:val="fr-FR"/>
        </w:rPr>
        <w:t xml:space="preserve">un </w:t>
      </w:r>
      <w:r w:rsidR="002B7F37" w:rsidRPr="00357DC2">
        <w:rPr>
          <w:lang w:val="fr-FR"/>
        </w:rPr>
        <w:t xml:space="preserve">examen tant au niveau du Comité des Ministres que des juridictions nationales, notamment des juges </w:t>
      </w:r>
      <w:r w:rsidR="002E1034" w:rsidRPr="00357DC2">
        <w:rPr>
          <w:lang w:val="fr-FR"/>
        </w:rPr>
        <w:t xml:space="preserve">ayant </w:t>
      </w:r>
      <w:r w:rsidR="002B7F37" w:rsidRPr="00357DC2">
        <w:rPr>
          <w:lang w:val="fr-FR"/>
        </w:rPr>
        <w:t xml:space="preserve">examiné et rejeté la demande de révision introduite par le requérant en 2011 </w:t>
      </w:r>
      <w:r w:rsidR="00F06BB4" w:rsidRPr="00357DC2">
        <w:rPr>
          <w:lang w:val="fr-FR"/>
        </w:rPr>
        <w:t xml:space="preserve">et </w:t>
      </w:r>
      <w:r w:rsidR="002E1034" w:rsidRPr="00357DC2">
        <w:rPr>
          <w:lang w:val="fr-FR"/>
        </w:rPr>
        <w:t>ayant</w:t>
      </w:r>
      <w:r w:rsidR="002B7F37" w:rsidRPr="00357DC2">
        <w:rPr>
          <w:lang w:val="fr-FR"/>
        </w:rPr>
        <w:t xml:space="preserve"> </w:t>
      </w:r>
      <w:r w:rsidR="00165181" w:rsidRPr="00357DC2">
        <w:rPr>
          <w:lang w:val="fr-FR"/>
        </w:rPr>
        <w:t xml:space="preserve">considéré </w:t>
      </w:r>
      <w:r w:rsidR="0039758C" w:rsidRPr="00357DC2">
        <w:rPr>
          <w:lang w:val="fr-FR"/>
        </w:rPr>
        <w:t xml:space="preserve">comme </w:t>
      </w:r>
      <w:r w:rsidR="00165181" w:rsidRPr="00357DC2">
        <w:rPr>
          <w:lang w:val="fr-FR"/>
        </w:rPr>
        <w:t xml:space="preserve">satisfaisante la procédure litigieuse. </w:t>
      </w:r>
      <w:r w:rsidR="002E1034" w:rsidRPr="00357DC2">
        <w:rPr>
          <w:lang w:val="fr-FR"/>
        </w:rPr>
        <w:t>Il estime que l</w:t>
      </w:r>
      <w:r w:rsidR="002B7F37" w:rsidRPr="00357DC2">
        <w:rPr>
          <w:lang w:val="fr-FR"/>
        </w:rPr>
        <w:t xml:space="preserve">e requérant ne </w:t>
      </w:r>
      <w:r w:rsidR="002E1034" w:rsidRPr="00357DC2">
        <w:rPr>
          <w:lang w:val="fr-FR"/>
        </w:rPr>
        <w:t xml:space="preserve">peut </w:t>
      </w:r>
      <w:r w:rsidR="002B7F37" w:rsidRPr="00357DC2">
        <w:rPr>
          <w:lang w:val="fr-FR"/>
        </w:rPr>
        <w:t>réitérer ses griefs</w:t>
      </w:r>
      <w:r w:rsidR="00165181" w:rsidRPr="00357DC2">
        <w:rPr>
          <w:lang w:val="fr-FR"/>
        </w:rPr>
        <w:t xml:space="preserve"> sous l</w:t>
      </w:r>
      <w:r w:rsidR="00357DC2" w:rsidRPr="00357DC2">
        <w:rPr>
          <w:lang w:val="fr-FR"/>
        </w:rPr>
        <w:t>’</w:t>
      </w:r>
      <w:r w:rsidR="00165181" w:rsidRPr="00357DC2">
        <w:rPr>
          <w:lang w:val="fr-FR"/>
        </w:rPr>
        <w:t>angle de l</w:t>
      </w:r>
      <w:r w:rsidR="00357DC2" w:rsidRPr="00357DC2">
        <w:rPr>
          <w:lang w:val="fr-FR"/>
        </w:rPr>
        <w:t>’</w:t>
      </w:r>
      <w:r w:rsidR="00165181" w:rsidRPr="00357DC2">
        <w:rPr>
          <w:lang w:val="fr-FR"/>
        </w:rPr>
        <w:t>article 6</w:t>
      </w:r>
      <w:r w:rsidR="002B7F37" w:rsidRPr="00357DC2">
        <w:rPr>
          <w:lang w:val="fr-FR"/>
        </w:rPr>
        <w:t xml:space="preserve"> </w:t>
      </w:r>
      <w:r w:rsidR="0039758C" w:rsidRPr="00357DC2">
        <w:rPr>
          <w:lang w:val="fr-FR"/>
        </w:rPr>
        <w:t xml:space="preserve">de la Convention </w:t>
      </w:r>
      <w:r w:rsidR="002B7F37" w:rsidRPr="00357DC2">
        <w:rPr>
          <w:lang w:val="fr-FR"/>
        </w:rPr>
        <w:t>devant la Cour</w:t>
      </w:r>
      <w:r w:rsidR="00165181" w:rsidRPr="00357DC2">
        <w:rPr>
          <w:lang w:val="fr-FR"/>
        </w:rPr>
        <w:t xml:space="preserve"> et remettre en cause l</w:t>
      </w:r>
      <w:r w:rsidR="00357DC2" w:rsidRPr="00357DC2">
        <w:rPr>
          <w:lang w:val="fr-FR"/>
        </w:rPr>
        <w:t>’</w:t>
      </w:r>
      <w:r w:rsidR="00165181" w:rsidRPr="00357DC2">
        <w:rPr>
          <w:lang w:val="fr-FR"/>
        </w:rPr>
        <w:t xml:space="preserve">appréciation </w:t>
      </w:r>
      <w:r w:rsidR="00F06BB4" w:rsidRPr="00357DC2">
        <w:rPr>
          <w:lang w:val="fr-FR"/>
        </w:rPr>
        <w:t>faite par</w:t>
      </w:r>
      <w:r w:rsidR="00165181" w:rsidRPr="00357DC2">
        <w:rPr>
          <w:lang w:val="fr-FR"/>
        </w:rPr>
        <w:t xml:space="preserve"> ces instances</w:t>
      </w:r>
      <w:r w:rsidR="002B7F37" w:rsidRPr="00357DC2">
        <w:rPr>
          <w:lang w:val="fr-FR"/>
        </w:rPr>
        <w:t>.</w:t>
      </w:r>
    </w:p>
    <w:p w:rsidR="007A6B24" w:rsidRPr="00357DC2" w:rsidRDefault="009461A1"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60</w:t>
      </w:r>
      <w:r w:rsidRPr="00357DC2">
        <w:rPr>
          <w:lang w:val="fr-FR"/>
        </w:rPr>
        <w:fldChar w:fldCharType="end"/>
      </w:r>
      <w:r w:rsidRPr="00357DC2">
        <w:rPr>
          <w:lang w:val="fr-FR"/>
        </w:rPr>
        <w:t xml:space="preserve">.  Le Gouvernement </w:t>
      </w:r>
      <w:r w:rsidR="002E1034" w:rsidRPr="00357DC2">
        <w:rPr>
          <w:lang w:val="fr-FR"/>
        </w:rPr>
        <w:t xml:space="preserve">indique </w:t>
      </w:r>
      <w:r w:rsidR="002B7F37" w:rsidRPr="00357DC2">
        <w:rPr>
          <w:lang w:val="fr-FR"/>
        </w:rPr>
        <w:t xml:space="preserve">par ailleurs </w:t>
      </w:r>
      <w:r w:rsidR="008430A3" w:rsidRPr="00357DC2">
        <w:rPr>
          <w:lang w:val="fr-FR"/>
        </w:rPr>
        <w:t xml:space="preserve">que </w:t>
      </w:r>
      <w:r w:rsidR="0069694C" w:rsidRPr="00357DC2">
        <w:rPr>
          <w:lang w:val="fr-FR"/>
        </w:rPr>
        <w:t>le requérant n</w:t>
      </w:r>
      <w:r w:rsidR="00357DC2" w:rsidRPr="00357DC2">
        <w:rPr>
          <w:lang w:val="fr-FR"/>
        </w:rPr>
        <w:t>’</w:t>
      </w:r>
      <w:r w:rsidR="0069694C" w:rsidRPr="00357DC2">
        <w:rPr>
          <w:lang w:val="fr-FR"/>
        </w:rPr>
        <w:t xml:space="preserve">a jamais </w:t>
      </w:r>
      <w:r w:rsidR="005F3A2F" w:rsidRPr="00357DC2">
        <w:rPr>
          <w:lang w:val="fr-FR"/>
        </w:rPr>
        <w:t xml:space="preserve">demandé </w:t>
      </w:r>
      <w:r w:rsidR="0069694C" w:rsidRPr="00357DC2">
        <w:rPr>
          <w:lang w:val="fr-FR"/>
        </w:rPr>
        <w:t>aux autorités nationales la réouverture des débats devant une juridiction de fond</w:t>
      </w:r>
      <w:r w:rsidR="002E1034" w:rsidRPr="00357DC2">
        <w:rPr>
          <w:lang w:val="fr-FR"/>
        </w:rPr>
        <w:t>,</w:t>
      </w:r>
      <w:r w:rsidR="0069694C" w:rsidRPr="00357DC2">
        <w:rPr>
          <w:lang w:val="fr-FR"/>
        </w:rPr>
        <w:t xml:space="preserve"> mais </w:t>
      </w:r>
      <w:r w:rsidR="002E1034" w:rsidRPr="00357DC2">
        <w:rPr>
          <w:lang w:val="fr-FR"/>
        </w:rPr>
        <w:t>qu</w:t>
      </w:r>
      <w:r w:rsidR="00357DC2" w:rsidRPr="00357DC2">
        <w:rPr>
          <w:lang w:val="fr-FR"/>
        </w:rPr>
        <w:t>’</w:t>
      </w:r>
      <w:r w:rsidR="002E1034" w:rsidRPr="00357DC2">
        <w:rPr>
          <w:lang w:val="fr-FR"/>
        </w:rPr>
        <w:t xml:space="preserve">il </w:t>
      </w:r>
      <w:r w:rsidR="0069694C" w:rsidRPr="00357DC2">
        <w:rPr>
          <w:lang w:val="fr-FR"/>
        </w:rPr>
        <w:t>s</w:t>
      </w:r>
      <w:r w:rsidR="00357DC2" w:rsidRPr="00357DC2">
        <w:rPr>
          <w:lang w:val="fr-FR"/>
        </w:rPr>
        <w:t>’</w:t>
      </w:r>
      <w:r w:rsidR="0069694C" w:rsidRPr="00357DC2">
        <w:rPr>
          <w:lang w:val="fr-FR"/>
        </w:rPr>
        <w:t>est borné à revendiquer l</w:t>
      </w:r>
      <w:r w:rsidR="00357DC2" w:rsidRPr="00357DC2">
        <w:rPr>
          <w:lang w:val="fr-FR"/>
        </w:rPr>
        <w:t>’</w:t>
      </w:r>
      <w:r w:rsidR="0069694C" w:rsidRPr="00357DC2">
        <w:rPr>
          <w:lang w:val="fr-FR"/>
        </w:rPr>
        <w:t xml:space="preserve">annulation de sa condamnation </w:t>
      </w:r>
      <w:r w:rsidR="00E56B0A" w:rsidRPr="00357DC2">
        <w:rPr>
          <w:lang w:val="fr-FR"/>
        </w:rPr>
        <w:t>et à affirmer</w:t>
      </w:r>
      <w:r w:rsidR="0069694C" w:rsidRPr="00357DC2">
        <w:rPr>
          <w:lang w:val="fr-FR"/>
        </w:rPr>
        <w:t xml:space="preserve"> que les faits </w:t>
      </w:r>
      <w:r w:rsidR="007270EE" w:rsidRPr="00357DC2">
        <w:rPr>
          <w:lang w:val="fr-FR"/>
        </w:rPr>
        <w:t xml:space="preserve">qui lui étaient reprochés </w:t>
      </w:r>
      <w:r w:rsidR="0069694C" w:rsidRPr="00357DC2">
        <w:rPr>
          <w:lang w:val="fr-FR"/>
        </w:rPr>
        <w:t xml:space="preserve">étaient prescrits. </w:t>
      </w:r>
      <w:r w:rsidR="002E1034" w:rsidRPr="00357DC2">
        <w:rPr>
          <w:lang w:val="fr-FR"/>
        </w:rPr>
        <w:t>Il est d</w:t>
      </w:r>
      <w:r w:rsidR="00357DC2" w:rsidRPr="00357DC2">
        <w:rPr>
          <w:lang w:val="fr-FR"/>
        </w:rPr>
        <w:t>’</w:t>
      </w:r>
      <w:r w:rsidR="002E1034" w:rsidRPr="00357DC2">
        <w:rPr>
          <w:lang w:val="fr-FR"/>
        </w:rPr>
        <w:t>avis que, d</w:t>
      </w:r>
      <w:r w:rsidR="00AA3685" w:rsidRPr="00357DC2">
        <w:rPr>
          <w:lang w:val="fr-FR"/>
        </w:rPr>
        <w:t>ès lors,</w:t>
      </w:r>
      <w:r w:rsidR="0069694C" w:rsidRPr="00357DC2">
        <w:rPr>
          <w:lang w:val="fr-FR"/>
        </w:rPr>
        <w:t xml:space="preserve"> la Cour de cassation, </w:t>
      </w:r>
      <w:r w:rsidR="008F4DF2" w:rsidRPr="00357DC2">
        <w:rPr>
          <w:lang w:val="fr-FR"/>
        </w:rPr>
        <w:t>en</w:t>
      </w:r>
      <w:r w:rsidR="00221EF9" w:rsidRPr="00357DC2">
        <w:rPr>
          <w:lang w:val="fr-FR"/>
        </w:rPr>
        <w:t xml:space="preserve"> décidant de</w:t>
      </w:r>
      <w:r w:rsidR="008F4DF2" w:rsidRPr="00357DC2">
        <w:rPr>
          <w:lang w:val="fr-FR"/>
        </w:rPr>
        <w:t xml:space="preserve"> qualifi</w:t>
      </w:r>
      <w:r w:rsidR="00221EF9" w:rsidRPr="00357DC2">
        <w:rPr>
          <w:lang w:val="fr-FR"/>
        </w:rPr>
        <w:t>er</w:t>
      </w:r>
      <w:r w:rsidR="008F4DF2" w:rsidRPr="00357DC2">
        <w:rPr>
          <w:lang w:val="fr-FR"/>
        </w:rPr>
        <w:t xml:space="preserve"> les faits en </w:t>
      </w:r>
      <w:r w:rsidR="0069694C" w:rsidRPr="00357DC2">
        <w:rPr>
          <w:lang w:val="fr-FR"/>
        </w:rPr>
        <w:t xml:space="preserve">corruption </w:t>
      </w:r>
      <w:r w:rsidR="008F4DF2" w:rsidRPr="00357DC2">
        <w:rPr>
          <w:lang w:val="fr-FR"/>
        </w:rPr>
        <w:t>dans des actes judiciaire</w:t>
      </w:r>
      <w:r w:rsidR="00101528" w:rsidRPr="00357DC2">
        <w:rPr>
          <w:lang w:val="fr-FR"/>
        </w:rPr>
        <w:t>s</w:t>
      </w:r>
      <w:r w:rsidR="008F4DF2" w:rsidRPr="00357DC2">
        <w:rPr>
          <w:lang w:val="fr-FR"/>
        </w:rPr>
        <w:t xml:space="preserve"> et </w:t>
      </w:r>
      <w:r w:rsidR="005F3A2F" w:rsidRPr="00357DC2">
        <w:rPr>
          <w:lang w:val="fr-FR"/>
        </w:rPr>
        <w:t xml:space="preserve">en </w:t>
      </w:r>
      <w:r w:rsidR="008F4DF2" w:rsidRPr="00357DC2">
        <w:rPr>
          <w:lang w:val="fr-FR"/>
        </w:rPr>
        <w:t>relevant que l</w:t>
      </w:r>
      <w:r w:rsidR="00357DC2" w:rsidRPr="00357DC2">
        <w:rPr>
          <w:lang w:val="fr-FR"/>
        </w:rPr>
        <w:t>’</w:t>
      </w:r>
      <w:r w:rsidR="008F4DF2" w:rsidRPr="00357DC2">
        <w:rPr>
          <w:lang w:val="fr-FR"/>
        </w:rPr>
        <w:t>infraction n</w:t>
      </w:r>
      <w:r w:rsidR="00357DC2" w:rsidRPr="00357DC2">
        <w:rPr>
          <w:lang w:val="fr-FR"/>
        </w:rPr>
        <w:t>’</w:t>
      </w:r>
      <w:r w:rsidR="008F4DF2" w:rsidRPr="00357DC2">
        <w:rPr>
          <w:lang w:val="fr-FR"/>
        </w:rPr>
        <w:t>était</w:t>
      </w:r>
      <w:r w:rsidR="0069694C" w:rsidRPr="00357DC2">
        <w:rPr>
          <w:lang w:val="fr-FR"/>
        </w:rPr>
        <w:t xml:space="preserve"> pas </w:t>
      </w:r>
      <w:r w:rsidR="00E56B0A" w:rsidRPr="00357DC2">
        <w:rPr>
          <w:lang w:val="fr-FR"/>
        </w:rPr>
        <w:t xml:space="preserve">encore </w:t>
      </w:r>
      <w:r w:rsidR="008F4DF2" w:rsidRPr="00357DC2">
        <w:rPr>
          <w:lang w:val="fr-FR"/>
        </w:rPr>
        <w:t>prescrite</w:t>
      </w:r>
      <w:r w:rsidR="0069694C" w:rsidRPr="00357DC2">
        <w:rPr>
          <w:lang w:val="fr-FR"/>
        </w:rPr>
        <w:t xml:space="preserve">, a correctement statué </w:t>
      </w:r>
      <w:r w:rsidR="0039758C" w:rsidRPr="00357DC2">
        <w:rPr>
          <w:lang w:val="fr-FR"/>
        </w:rPr>
        <w:t>eu égard aux</w:t>
      </w:r>
      <w:r w:rsidR="006B55BF" w:rsidRPr="00357DC2">
        <w:rPr>
          <w:lang w:val="fr-FR"/>
        </w:rPr>
        <w:t xml:space="preserve"> arguments des parties et </w:t>
      </w:r>
      <w:r w:rsidR="0039758C" w:rsidRPr="00357DC2">
        <w:rPr>
          <w:lang w:val="fr-FR"/>
        </w:rPr>
        <w:t xml:space="preserve">aux </w:t>
      </w:r>
      <w:r w:rsidR="0069694C" w:rsidRPr="00357DC2">
        <w:rPr>
          <w:lang w:val="fr-FR"/>
        </w:rPr>
        <w:t xml:space="preserve">prérogatives </w:t>
      </w:r>
      <w:r w:rsidR="006B55BF" w:rsidRPr="00357DC2">
        <w:rPr>
          <w:lang w:val="fr-FR"/>
        </w:rPr>
        <w:t>qui s</w:t>
      </w:r>
      <w:r w:rsidR="002E1034" w:rsidRPr="00357DC2">
        <w:rPr>
          <w:lang w:val="fr-FR"/>
        </w:rPr>
        <w:t>eraie</w:t>
      </w:r>
      <w:r w:rsidR="006B55BF" w:rsidRPr="00357DC2">
        <w:rPr>
          <w:lang w:val="fr-FR"/>
        </w:rPr>
        <w:t>nt les siennes.</w:t>
      </w:r>
    </w:p>
    <w:p w:rsidR="00E75C12" w:rsidRPr="00357DC2" w:rsidRDefault="00AA3685"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61</w:t>
      </w:r>
      <w:r w:rsidRPr="00357DC2">
        <w:rPr>
          <w:lang w:val="fr-FR"/>
        </w:rPr>
        <w:fldChar w:fldCharType="end"/>
      </w:r>
      <w:r w:rsidRPr="00357DC2">
        <w:rPr>
          <w:lang w:val="fr-FR"/>
        </w:rPr>
        <w:t>.  </w:t>
      </w:r>
      <w:r w:rsidR="007A51F7" w:rsidRPr="00357DC2">
        <w:rPr>
          <w:lang w:val="fr-FR"/>
        </w:rPr>
        <w:t>Q</w:t>
      </w:r>
      <w:r w:rsidR="00F43AFD" w:rsidRPr="00357DC2">
        <w:rPr>
          <w:lang w:val="fr-FR"/>
        </w:rPr>
        <w:t>uoi qu</w:t>
      </w:r>
      <w:r w:rsidR="00357DC2" w:rsidRPr="00357DC2">
        <w:rPr>
          <w:lang w:val="fr-FR"/>
        </w:rPr>
        <w:t>’</w:t>
      </w:r>
      <w:r w:rsidR="00F43AFD" w:rsidRPr="00357DC2">
        <w:rPr>
          <w:lang w:val="fr-FR"/>
        </w:rPr>
        <w:t>il en s</w:t>
      </w:r>
      <w:r w:rsidR="007A51F7" w:rsidRPr="00357DC2">
        <w:rPr>
          <w:lang w:val="fr-FR"/>
        </w:rPr>
        <w:t>oit, le Gouvernement estime que</w:t>
      </w:r>
      <w:r w:rsidR="00AB7D62" w:rsidRPr="00357DC2">
        <w:rPr>
          <w:lang w:val="fr-FR"/>
        </w:rPr>
        <w:t xml:space="preserve"> tant</w:t>
      </w:r>
      <w:r w:rsidR="007A51F7" w:rsidRPr="00357DC2">
        <w:rPr>
          <w:lang w:val="fr-FR"/>
        </w:rPr>
        <w:t xml:space="preserve"> </w:t>
      </w:r>
      <w:r w:rsidR="00AB7D62" w:rsidRPr="00357DC2">
        <w:rPr>
          <w:lang w:val="fr-FR"/>
        </w:rPr>
        <w:t xml:space="preserve">le requérant que son représentant légal </w:t>
      </w:r>
      <w:r w:rsidR="00BB78FE" w:rsidRPr="00357DC2">
        <w:rPr>
          <w:lang w:val="fr-FR"/>
        </w:rPr>
        <w:t>avaient été</w:t>
      </w:r>
      <w:r w:rsidR="00AB7D62" w:rsidRPr="00357DC2">
        <w:rPr>
          <w:lang w:val="fr-FR"/>
        </w:rPr>
        <w:t xml:space="preserve"> </w:t>
      </w:r>
      <w:r w:rsidR="00E02B70" w:rsidRPr="00357DC2">
        <w:rPr>
          <w:lang w:val="fr-FR"/>
        </w:rPr>
        <w:t xml:space="preserve">adéquatement </w:t>
      </w:r>
      <w:r w:rsidR="00AB7D62" w:rsidRPr="00357DC2">
        <w:rPr>
          <w:lang w:val="fr-FR"/>
        </w:rPr>
        <w:t>informés</w:t>
      </w:r>
      <w:r w:rsidR="00447362" w:rsidRPr="00357DC2">
        <w:rPr>
          <w:lang w:val="fr-FR"/>
        </w:rPr>
        <w:t xml:space="preserve"> </w:t>
      </w:r>
      <w:r w:rsidR="00593896" w:rsidRPr="00357DC2">
        <w:rPr>
          <w:lang w:val="fr-FR"/>
        </w:rPr>
        <w:t>par l</w:t>
      </w:r>
      <w:r w:rsidR="00357DC2" w:rsidRPr="00357DC2">
        <w:rPr>
          <w:lang w:val="fr-FR"/>
        </w:rPr>
        <w:t>’</w:t>
      </w:r>
      <w:r w:rsidR="00593896" w:rsidRPr="00357DC2">
        <w:rPr>
          <w:lang w:val="fr-FR"/>
        </w:rPr>
        <w:t xml:space="preserve">arrêt de la Cour de cassation du 12 novembre 2008 </w:t>
      </w:r>
      <w:r w:rsidR="00AB7D62" w:rsidRPr="00357DC2">
        <w:rPr>
          <w:lang w:val="fr-FR"/>
        </w:rPr>
        <w:t>d</w:t>
      </w:r>
      <w:r w:rsidR="00BB78FE" w:rsidRPr="00357DC2">
        <w:rPr>
          <w:lang w:val="fr-FR"/>
        </w:rPr>
        <w:t>e</w:t>
      </w:r>
      <w:r w:rsidR="00AB7D62" w:rsidRPr="00357DC2">
        <w:rPr>
          <w:lang w:val="fr-FR"/>
        </w:rPr>
        <w:t xml:space="preserve"> la possibilité </w:t>
      </w:r>
      <w:r w:rsidR="0012605B" w:rsidRPr="00357DC2">
        <w:rPr>
          <w:lang w:val="fr-FR"/>
        </w:rPr>
        <w:t>d</w:t>
      </w:r>
      <w:r w:rsidR="00357DC2" w:rsidRPr="00357DC2">
        <w:rPr>
          <w:lang w:val="fr-FR"/>
        </w:rPr>
        <w:t>’</w:t>
      </w:r>
      <w:r w:rsidR="0012605B" w:rsidRPr="00357DC2">
        <w:rPr>
          <w:lang w:val="fr-FR"/>
        </w:rPr>
        <w:t>une requalification d</w:t>
      </w:r>
      <w:r w:rsidR="00AB7D62" w:rsidRPr="00357DC2">
        <w:rPr>
          <w:lang w:val="fr-FR"/>
        </w:rPr>
        <w:t>es fai</w:t>
      </w:r>
      <w:r w:rsidR="00B1408F" w:rsidRPr="00357DC2">
        <w:rPr>
          <w:lang w:val="fr-FR"/>
        </w:rPr>
        <w:t xml:space="preserve">ts </w:t>
      </w:r>
      <w:r w:rsidR="00BB78FE" w:rsidRPr="00357DC2">
        <w:rPr>
          <w:lang w:val="fr-FR"/>
        </w:rPr>
        <w:t>de corruption</w:t>
      </w:r>
      <w:r w:rsidR="0012605B" w:rsidRPr="00357DC2">
        <w:rPr>
          <w:lang w:val="fr-FR"/>
        </w:rPr>
        <w:t>, et qu</w:t>
      </w:r>
      <w:r w:rsidR="00357DC2" w:rsidRPr="00357DC2">
        <w:rPr>
          <w:lang w:val="fr-FR"/>
        </w:rPr>
        <w:t>’</w:t>
      </w:r>
      <w:r w:rsidR="003B62A5" w:rsidRPr="00357DC2">
        <w:rPr>
          <w:lang w:val="fr-FR"/>
        </w:rPr>
        <w:t>ils savaient ou auraient dû savoir que l</w:t>
      </w:r>
      <w:r w:rsidR="00357DC2" w:rsidRPr="00357DC2">
        <w:rPr>
          <w:lang w:val="fr-FR"/>
        </w:rPr>
        <w:t>’</w:t>
      </w:r>
      <w:r w:rsidR="003B62A5" w:rsidRPr="00357DC2">
        <w:rPr>
          <w:lang w:val="fr-FR"/>
        </w:rPr>
        <w:t xml:space="preserve">audience du 25 mai </w:t>
      </w:r>
      <w:r w:rsidR="00EC74F3" w:rsidRPr="00357DC2">
        <w:rPr>
          <w:lang w:val="fr-FR"/>
        </w:rPr>
        <w:t xml:space="preserve">2009 </w:t>
      </w:r>
      <w:r w:rsidR="0012605B" w:rsidRPr="00357DC2">
        <w:rPr>
          <w:lang w:val="fr-FR"/>
        </w:rPr>
        <w:t xml:space="preserve">serait </w:t>
      </w:r>
      <w:r w:rsidR="003B62A5" w:rsidRPr="00357DC2">
        <w:rPr>
          <w:lang w:val="fr-FR"/>
        </w:rPr>
        <w:t>consacrée à la</w:t>
      </w:r>
      <w:r w:rsidR="00EC74F3" w:rsidRPr="00357DC2">
        <w:rPr>
          <w:lang w:val="fr-FR"/>
        </w:rPr>
        <w:t xml:space="preserve"> question de la requalification</w:t>
      </w:r>
      <w:r w:rsidR="00B81CB8" w:rsidRPr="00357DC2">
        <w:rPr>
          <w:lang w:val="fr-FR"/>
        </w:rPr>
        <w:t xml:space="preserve"> de l</w:t>
      </w:r>
      <w:r w:rsidR="00357DC2" w:rsidRPr="00357DC2">
        <w:rPr>
          <w:lang w:val="fr-FR"/>
        </w:rPr>
        <w:t>’</w:t>
      </w:r>
      <w:r w:rsidR="009E27A6" w:rsidRPr="00357DC2">
        <w:rPr>
          <w:lang w:val="fr-FR"/>
        </w:rPr>
        <w:t xml:space="preserve">infraction. Selon le Gouvernement, </w:t>
      </w:r>
      <w:r w:rsidR="00BB78FE" w:rsidRPr="00357DC2">
        <w:rPr>
          <w:lang w:val="fr-FR"/>
        </w:rPr>
        <w:t>le requérant a bé</w:t>
      </w:r>
      <w:r w:rsidR="00B1408F" w:rsidRPr="00357DC2">
        <w:rPr>
          <w:lang w:val="fr-FR"/>
        </w:rPr>
        <w:t>néficié de tout le temps néce</w:t>
      </w:r>
      <w:r w:rsidR="002C44B0" w:rsidRPr="00357DC2">
        <w:rPr>
          <w:lang w:val="fr-FR"/>
        </w:rPr>
        <w:t xml:space="preserve">ssaire, </w:t>
      </w:r>
      <w:r w:rsidR="0039758C" w:rsidRPr="00357DC2">
        <w:rPr>
          <w:lang w:val="fr-FR"/>
        </w:rPr>
        <w:t xml:space="preserve">à savoir </w:t>
      </w:r>
      <w:r w:rsidR="002C44B0" w:rsidRPr="00357DC2">
        <w:rPr>
          <w:lang w:val="fr-FR"/>
        </w:rPr>
        <w:t xml:space="preserve">cinq mois, </w:t>
      </w:r>
      <w:r w:rsidR="00BB78FE" w:rsidRPr="00357DC2">
        <w:rPr>
          <w:lang w:val="fr-FR"/>
        </w:rPr>
        <w:t xml:space="preserve">pour </w:t>
      </w:r>
      <w:r w:rsidR="009E27A6" w:rsidRPr="00357DC2">
        <w:rPr>
          <w:lang w:val="fr-FR"/>
        </w:rPr>
        <w:t xml:space="preserve">préparer sa défense et </w:t>
      </w:r>
      <w:r w:rsidR="00754129" w:rsidRPr="00357DC2">
        <w:rPr>
          <w:lang w:val="fr-FR"/>
        </w:rPr>
        <w:t>présenter ses arguments</w:t>
      </w:r>
      <w:r w:rsidR="00BB78FE" w:rsidRPr="00357DC2">
        <w:rPr>
          <w:lang w:val="fr-FR"/>
        </w:rPr>
        <w:t xml:space="preserve"> </w:t>
      </w:r>
      <w:r w:rsidR="00B81CB8" w:rsidRPr="00357DC2">
        <w:rPr>
          <w:lang w:val="fr-FR"/>
        </w:rPr>
        <w:t>par le biais de son avocat.</w:t>
      </w:r>
    </w:p>
    <w:p w:rsidR="009563EC" w:rsidRPr="00357DC2" w:rsidRDefault="00B81CB8"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62</w:t>
      </w:r>
      <w:r w:rsidRPr="00357DC2">
        <w:rPr>
          <w:lang w:val="fr-FR"/>
        </w:rPr>
        <w:fldChar w:fldCharType="end"/>
      </w:r>
      <w:r w:rsidRPr="00357DC2">
        <w:rPr>
          <w:lang w:val="fr-FR"/>
        </w:rPr>
        <w:t>.  </w:t>
      </w:r>
      <w:r w:rsidR="009E27A6" w:rsidRPr="00357DC2">
        <w:rPr>
          <w:lang w:val="fr-FR"/>
        </w:rPr>
        <w:t xml:space="preserve">Par ailleurs, le Gouvernement </w:t>
      </w:r>
      <w:r w:rsidR="00B11925" w:rsidRPr="00357DC2">
        <w:rPr>
          <w:lang w:val="fr-FR"/>
        </w:rPr>
        <w:t>estime que l</w:t>
      </w:r>
      <w:r w:rsidR="00357DC2" w:rsidRPr="00357DC2">
        <w:rPr>
          <w:lang w:val="fr-FR"/>
        </w:rPr>
        <w:t>’</w:t>
      </w:r>
      <w:r w:rsidR="00B11925" w:rsidRPr="00357DC2">
        <w:rPr>
          <w:lang w:val="fr-FR"/>
        </w:rPr>
        <w:t>impossibilité pour le requérant de</w:t>
      </w:r>
      <w:r w:rsidR="009E27A6" w:rsidRPr="00357DC2">
        <w:rPr>
          <w:lang w:val="fr-FR"/>
        </w:rPr>
        <w:t xml:space="preserve"> </w:t>
      </w:r>
      <w:r w:rsidR="003E6A31" w:rsidRPr="00357DC2">
        <w:rPr>
          <w:lang w:val="fr-FR"/>
        </w:rPr>
        <w:t>comparaître personnellement devant la Cour de cassation n</w:t>
      </w:r>
      <w:r w:rsidR="00357DC2" w:rsidRPr="00357DC2">
        <w:rPr>
          <w:lang w:val="fr-FR"/>
        </w:rPr>
        <w:t>’</w:t>
      </w:r>
      <w:r w:rsidR="003E6A31" w:rsidRPr="00357DC2">
        <w:rPr>
          <w:lang w:val="fr-FR"/>
        </w:rPr>
        <w:t xml:space="preserve">est pas en soi une entrave au droit à un procès équitable dans la mesure où la </w:t>
      </w:r>
      <w:r w:rsidR="009E27A6" w:rsidRPr="00357DC2">
        <w:rPr>
          <w:lang w:val="fr-FR"/>
        </w:rPr>
        <w:t>procédure ne comport</w:t>
      </w:r>
      <w:r w:rsidR="003E6A31" w:rsidRPr="00357DC2">
        <w:rPr>
          <w:lang w:val="fr-FR"/>
        </w:rPr>
        <w:t>ait</w:t>
      </w:r>
      <w:r w:rsidR="009E27A6" w:rsidRPr="00357DC2">
        <w:rPr>
          <w:lang w:val="fr-FR"/>
        </w:rPr>
        <w:t xml:space="preserve"> que des points de droit et non de fait</w:t>
      </w:r>
      <w:r w:rsidR="003E6A31" w:rsidRPr="00357DC2">
        <w:rPr>
          <w:lang w:val="fr-FR"/>
        </w:rPr>
        <w:t>. Il se réfère à cet égard à la jurisprudence de la Cour en la matière.</w:t>
      </w:r>
    </w:p>
    <w:p w:rsidR="007A6B24" w:rsidRPr="00357DC2" w:rsidRDefault="002C44B0"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63</w:t>
      </w:r>
      <w:r w:rsidRPr="00357DC2">
        <w:rPr>
          <w:lang w:val="fr-FR"/>
        </w:rPr>
        <w:fldChar w:fldCharType="end"/>
      </w:r>
      <w:r w:rsidRPr="00357DC2">
        <w:rPr>
          <w:lang w:val="fr-FR"/>
        </w:rPr>
        <w:t>.  </w:t>
      </w:r>
      <w:r w:rsidR="002B7F37" w:rsidRPr="00357DC2">
        <w:rPr>
          <w:lang w:val="fr-FR"/>
        </w:rPr>
        <w:t xml:space="preserve">Le Gouvernement </w:t>
      </w:r>
      <w:r w:rsidR="008447FC" w:rsidRPr="00357DC2">
        <w:rPr>
          <w:lang w:val="fr-FR"/>
        </w:rPr>
        <w:t>ajoute</w:t>
      </w:r>
      <w:r w:rsidR="002B7F37" w:rsidRPr="00357DC2">
        <w:rPr>
          <w:lang w:val="fr-FR"/>
        </w:rPr>
        <w:t xml:space="preserve"> que le requérant a renoncé à demander la réouverture de son procès et à indiquer </w:t>
      </w:r>
      <w:r w:rsidR="00701F69" w:rsidRPr="00357DC2">
        <w:rPr>
          <w:lang w:val="fr-FR"/>
        </w:rPr>
        <w:t>de</w:t>
      </w:r>
      <w:r w:rsidR="009461A1" w:rsidRPr="00357DC2">
        <w:rPr>
          <w:lang w:val="fr-FR"/>
        </w:rPr>
        <w:t xml:space="preserve"> nouveaux</w:t>
      </w:r>
      <w:r w:rsidR="002B7F37" w:rsidRPr="00357DC2">
        <w:rPr>
          <w:lang w:val="fr-FR"/>
        </w:rPr>
        <w:t xml:space="preserve"> moyens de preuve </w:t>
      </w:r>
      <w:r w:rsidR="00701F69" w:rsidRPr="00357DC2">
        <w:rPr>
          <w:lang w:val="fr-FR"/>
        </w:rPr>
        <w:t>déterminant</w:t>
      </w:r>
      <w:r w:rsidR="008447FC" w:rsidRPr="00357DC2">
        <w:rPr>
          <w:lang w:val="fr-FR"/>
        </w:rPr>
        <w:t>s</w:t>
      </w:r>
      <w:r w:rsidR="00701F69" w:rsidRPr="00357DC2">
        <w:rPr>
          <w:lang w:val="fr-FR"/>
        </w:rPr>
        <w:t xml:space="preserve"> </w:t>
      </w:r>
      <w:r w:rsidR="009461A1" w:rsidRPr="00357DC2">
        <w:rPr>
          <w:lang w:val="fr-FR"/>
        </w:rPr>
        <w:t>pour sa</w:t>
      </w:r>
      <w:r w:rsidR="002B7F37" w:rsidRPr="00357DC2">
        <w:rPr>
          <w:lang w:val="fr-FR"/>
        </w:rPr>
        <w:t xml:space="preserve"> </w:t>
      </w:r>
      <w:r w:rsidR="009461A1" w:rsidRPr="00357DC2">
        <w:rPr>
          <w:lang w:val="fr-FR"/>
        </w:rPr>
        <w:t xml:space="preserve">défense </w:t>
      </w:r>
      <w:r w:rsidR="008447FC" w:rsidRPr="00357DC2">
        <w:rPr>
          <w:lang w:val="fr-FR"/>
        </w:rPr>
        <w:t>et devant, par conséquent,</w:t>
      </w:r>
      <w:r w:rsidR="00701F69" w:rsidRPr="00357DC2">
        <w:rPr>
          <w:lang w:val="fr-FR"/>
        </w:rPr>
        <w:t xml:space="preserve"> être examinés par une juridiction de fond.</w:t>
      </w:r>
    </w:p>
    <w:p w:rsidR="007A6B24" w:rsidRPr="00357DC2" w:rsidRDefault="00C63528" w:rsidP="00357DC2">
      <w:pPr>
        <w:pStyle w:val="ECHRPara"/>
        <w:rPr>
          <w:lang w:val="fr-FR"/>
        </w:rPr>
      </w:pPr>
      <w:r w:rsidRPr="00357DC2">
        <w:rPr>
          <w:lang w:val="fr-FR"/>
        </w:rPr>
        <w:lastRenderedPageBreak/>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64</w:t>
      </w:r>
      <w:r w:rsidRPr="00357DC2">
        <w:rPr>
          <w:lang w:val="fr-FR"/>
        </w:rPr>
        <w:fldChar w:fldCharType="end"/>
      </w:r>
      <w:r w:rsidRPr="00357DC2">
        <w:rPr>
          <w:lang w:val="fr-FR"/>
        </w:rPr>
        <w:t>.  </w:t>
      </w:r>
      <w:r w:rsidR="0079463C" w:rsidRPr="00357DC2">
        <w:rPr>
          <w:lang w:val="fr-FR"/>
        </w:rPr>
        <w:t>Il</w:t>
      </w:r>
      <w:r w:rsidR="00062019" w:rsidRPr="00357DC2">
        <w:rPr>
          <w:lang w:val="fr-FR"/>
        </w:rPr>
        <w:t xml:space="preserve"> considère que le requérant a été mis dans les conditions d</w:t>
      </w:r>
      <w:r w:rsidR="00357DC2" w:rsidRPr="00357DC2">
        <w:rPr>
          <w:lang w:val="fr-FR"/>
        </w:rPr>
        <w:t>’</w:t>
      </w:r>
      <w:r w:rsidR="00062019" w:rsidRPr="00357DC2">
        <w:rPr>
          <w:lang w:val="fr-FR"/>
        </w:rPr>
        <w:t xml:space="preserve">exercer </w:t>
      </w:r>
      <w:r w:rsidR="00701F69" w:rsidRPr="00357DC2">
        <w:rPr>
          <w:lang w:val="fr-FR"/>
        </w:rPr>
        <w:t>tous les</w:t>
      </w:r>
      <w:r w:rsidR="00062019" w:rsidRPr="00357DC2">
        <w:rPr>
          <w:lang w:val="fr-FR"/>
        </w:rPr>
        <w:t xml:space="preserve"> droits garantis par l</w:t>
      </w:r>
      <w:r w:rsidR="00357DC2" w:rsidRPr="00357DC2">
        <w:rPr>
          <w:lang w:val="fr-FR"/>
        </w:rPr>
        <w:t>’</w:t>
      </w:r>
      <w:r w:rsidR="00062019" w:rsidRPr="00357DC2">
        <w:rPr>
          <w:lang w:val="fr-FR"/>
        </w:rPr>
        <w:t xml:space="preserve">article 6 de la Convention </w:t>
      </w:r>
      <w:r w:rsidR="0079463C" w:rsidRPr="00357DC2">
        <w:rPr>
          <w:lang w:val="fr-FR"/>
        </w:rPr>
        <w:t>et</w:t>
      </w:r>
      <w:r w:rsidR="00062019" w:rsidRPr="00357DC2">
        <w:rPr>
          <w:lang w:val="fr-FR"/>
        </w:rPr>
        <w:t xml:space="preserve"> que les autorités ne </w:t>
      </w:r>
      <w:r w:rsidR="0079463C" w:rsidRPr="00357DC2">
        <w:rPr>
          <w:lang w:val="fr-FR"/>
        </w:rPr>
        <w:t xml:space="preserve">peuvent </w:t>
      </w:r>
      <w:r w:rsidR="00062019" w:rsidRPr="00357DC2">
        <w:rPr>
          <w:lang w:val="fr-FR"/>
        </w:rPr>
        <w:t>ê</w:t>
      </w:r>
      <w:r w:rsidR="00124623" w:rsidRPr="00357DC2">
        <w:rPr>
          <w:lang w:val="fr-FR"/>
        </w:rPr>
        <w:t xml:space="preserve">tre tenues pour responsables de la manière </w:t>
      </w:r>
      <w:r w:rsidR="0063456B" w:rsidRPr="00357DC2">
        <w:rPr>
          <w:lang w:val="fr-FR"/>
        </w:rPr>
        <w:t>dont</w:t>
      </w:r>
      <w:r w:rsidR="00124623" w:rsidRPr="00357DC2">
        <w:rPr>
          <w:lang w:val="fr-FR"/>
        </w:rPr>
        <w:t xml:space="preserve"> </w:t>
      </w:r>
      <w:r w:rsidR="0063456B" w:rsidRPr="00357DC2">
        <w:rPr>
          <w:lang w:val="fr-FR"/>
        </w:rPr>
        <w:t>l</w:t>
      </w:r>
      <w:r w:rsidR="00357DC2" w:rsidRPr="00357DC2">
        <w:rPr>
          <w:lang w:val="fr-FR"/>
        </w:rPr>
        <w:t>’</w:t>
      </w:r>
      <w:r w:rsidR="0063456B" w:rsidRPr="00357DC2">
        <w:rPr>
          <w:lang w:val="fr-FR"/>
        </w:rPr>
        <w:t>intéressé</w:t>
      </w:r>
      <w:r w:rsidR="00FD018E" w:rsidRPr="00357DC2">
        <w:rPr>
          <w:lang w:val="fr-FR"/>
        </w:rPr>
        <w:t xml:space="preserve"> en a fait usage</w:t>
      </w:r>
      <w:r w:rsidR="00124623" w:rsidRPr="00357DC2">
        <w:rPr>
          <w:lang w:val="fr-FR"/>
        </w:rPr>
        <w:t>.</w:t>
      </w:r>
    </w:p>
    <w:p w:rsidR="009563EC" w:rsidRPr="00357DC2" w:rsidRDefault="009563EC" w:rsidP="00357DC2">
      <w:pPr>
        <w:pStyle w:val="ECHRHeading3"/>
        <w:rPr>
          <w:lang w:val="fr-FR"/>
        </w:rPr>
      </w:pPr>
      <w:r w:rsidRPr="00357DC2">
        <w:rPr>
          <w:lang w:val="fr-FR"/>
        </w:rPr>
        <w:t>2.  Appréciation de la Cour</w:t>
      </w:r>
    </w:p>
    <w:p w:rsidR="000256C9" w:rsidRPr="00357DC2" w:rsidRDefault="000256C9" w:rsidP="00357DC2">
      <w:pPr>
        <w:pStyle w:val="ECHRHeading4"/>
        <w:rPr>
          <w:lang w:val="fr-FR"/>
        </w:rPr>
      </w:pPr>
      <w:r w:rsidRPr="00357DC2">
        <w:rPr>
          <w:lang w:val="fr-FR"/>
        </w:rPr>
        <w:t>a</w:t>
      </w:r>
      <w:r w:rsidR="00DE63F8" w:rsidRPr="00357DC2">
        <w:rPr>
          <w:lang w:val="fr-FR"/>
        </w:rPr>
        <w:t>)  </w:t>
      </w:r>
      <w:r w:rsidRPr="00357DC2">
        <w:rPr>
          <w:lang w:val="fr-FR"/>
        </w:rPr>
        <w:t xml:space="preserve">Sur la requalification </w:t>
      </w:r>
      <w:r w:rsidR="003C5A8C" w:rsidRPr="00357DC2">
        <w:rPr>
          <w:lang w:val="fr-FR"/>
        </w:rPr>
        <w:t xml:space="preserve">juridique </w:t>
      </w:r>
      <w:r w:rsidR="00010E36" w:rsidRPr="00357DC2">
        <w:rPr>
          <w:lang w:val="fr-FR"/>
        </w:rPr>
        <w:t xml:space="preserve">de </w:t>
      </w:r>
      <w:r w:rsidR="003C5A8C" w:rsidRPr="00357DC2">
        <w:rPr>
          <w:lang w:val="fr-FR"/>
        </w:rPr>
        <w:t>l</w:t>
      </w:r>
      <w:r w:rsidR="00357DC2" w:rsidRPr="00357DC2">
        <w:rPr>
          <w:lang w:val="fr-FR"/>
        </w:rPr>
        <w:t>’</w:t>
      </w:r>
      <w:r w:rsidR="003C5A8C" w:rsidRPr="00357DC2">
        <w:rPr>
          <w:lang w:val="fr-FR"/>
        </w:rPr>
        <w:t>accusation</w:t>
      </w:r>
    </w:p>
    <w:p w:rsidR="00EA3544" w:rsidRPr="00357DC2" w:rsidRDefault="007066FD"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65</w:t>
      </w:r>
      <w:r w:rsidRPr="00357DC2">
        <w:rPr>
          <w:lang w:val="fr-FR"/>
        </w:rPr>
        <w:fldChar w:fldCharType="end"/>
      </w:r>
      <w:r w:rsidRPr="00357DC2">
        <w:rPr>
          <w:lang w:val="fr-FR"/>
        </w:rPr>
        <w:t>.  La</w:t>
      </w:r>
      <w:r w:rsidR="00FD018E" w:rsidRPr="00357DC2">
        <w:rPr>
          <w:lang w:val="fr-FR"/>
        </w:rPr>
        <w:t xml:space="preserve"> </w:t>
      </w:r>
      <w:r w:rsidR="00CB328A" w:rsidRPr="00357DC2">
        <w:rPr>
          <w:lang w:val="fr-FR"/>
        </w:rPr>
        <w:t xml:space="preserve">Cour </w:t>
      </w:r>
      <w:r w:rsidR="00FD018E" w:rsidRPr="00357DC2">
        <w:rPr>
          <w:lang w:val="fr-FR"/>
        </w:rPr>
        <w:t>rappelle que l</w:t>
      </w:r>
      <w:r w:rsidR="00357DC2" w:rsidRPr="00357DC2">
        <w:rPr>
          <w:lang w:val="fr-FR"/>
        </w:rPr>
        <w:t>’</w:t>
      </w:r>
      <w:r w:rsidR="00FD018E" w:rsidRPr="00357DC2">
        <w:rPr>
          <w:lang w:val="fr-FR"/>
        </w:rPr>
        <w:t>équité de la procédure doit s</w:t>
      </w:r>
      <w:r w:rsidR="00357DC2" w:rsidRPr="00357DC2">
        <w:rPr>
          <w:lang w:val="fr-FR"/>
        </w:rPr>
        <w:t>’</w:t>
      </w:r>
      <w:r w:rsidR="00FD018E" w:rsidRPr="00357DC2">
        <w:rPr>
          <w:lang w:val="fr-FR"/>
        </w:rPr>
        <w:t xml:space="preserve">apprécier à la lumière de la procédure considérée dans son ensemble (voir, par exemple, les arrêts </w:t>
      </w:r>
      <w:r w:rsidR="00FD018E" w:rsidRPr="00357DC2">
        <w:rPr>
          <w:i/>
          <w:lang w:val="fr-FR"/>
        </w:rPr>
        <w:t>Miailhe c. France (n</w:t>
      </w:r>
      <w:r w:rsidR="007A6B24" w:rsidRPr="00357DC2">
        <w:rPr>
          <w:i/>
          <w:vertAlign w:val="superscript"/>
          <w:lang w:val="fr-FR"/>
        </w:rPr>
        <w:t>o</w:t>
      </w:r>
      <w:r w:rsidR="00FD018E" w:rsidRPr="00357DC2">
        <w:rPr>
          <w:i/>
          <w:lang w:val="fr-FR"/>
        </w:rPr>
        <w:t xml:space="preserve"> 2)</w:t>
      </w:r>
      <w:r w:rsidR="00086C0C" w:rsidRPr="00357DC2">
        <w:rPr>
          <w:lang w:val="fr-FR"/>
        </w:rPr>
        <w:t xml:space="preserve">, </w:t>
      </w:r>
      <w:r w:rsidR="00FD018E" w:rsidRPr="00357DC2">
        <w:rPr>
          <w:lang w:val="fr-FR"/>
        </w:rPr>
        <w:t>26 septembre 1996,</w:t>
      </w:r>
      <w:r w:rsidR="00086C0C" w:rsidRPr="00357DC2">
        <w:rPr>
          <w:lang w:val="fr-FR"/>
        </w:rPr>
        <w:t xml:space="preserve"> § 43,</w:t>
      </w:r>
      <w:r w:rsidR="00FD018E" w:rsidRPr="00357DC2">
        <w:rPr>
          <w:lang w:val="fr-FR"/>
        </w:rPr>
        <w:t xml:space="preserve"> </w:t>
      </w:r>
      <w:r w:rsidR="00FD018E" w:rsidRPr="00357DC2">
        <w:rPr>
          <w:i/>
          <w:lang w:val="fr-FR"/>
        </w:rPr>
        <w:t>Recueil</w:t>
      </w:r>
      <w:r w:rsidR="00086C0C" w:rsidRPr="00357DC2">
        <w:rPr>
          <w:i/>
          <w:lang w:val="fr-FR"/>
        </w:rPr>
        <w:t xml:space="preserve"> des arrêts et décisions</w:t>
      </w:r>
      <w:r w:rsidR="00FD018E" w:rsidRPr="00357DC2">
        <w:rPr>
          <w:i/>
          <w:lang w:val="fr-FR"/>
        </w:rPr>
        <w:t xml:space="preserve"> </w:t>
      </w:r>
      <w:r w:rsidR="00FD018E" w:rsidRPr="00357DC2">
        <w:rPr>
          <w:lang w:val="fr-FR"/>
        </w:rPr>
        <w:t xml:space="preserve">1996-IV, et </w:t>
      </w:r>
      <w:r w:rsidR="00FD018E" w:rsidRPr="00357DC2">
        <w:rPr>
          <w:i/>
          <w:lang w:val="fr-FR"/>
        </w:rPr>
        <w:t>Imbrioscia c. Suisse</w:t>
      </w:r>
      <w:r w:rsidR="00086C0C" w:rsidRPr="00357DC2">
        <w:rPr>
          <w:lang w:val="fr-FR"/>
        </w:rPr>
        <w:t xml:space="preserve">, </w:t>
      </w:r>
      <w:r w:rsidR="00FD018E" w:rsidRPr="00357DC2">
        <w:rPr>
          <w:lang w:val="fr-FR"/>
        </w:rPr>
        <w:t>24 novembre 1993</w:t>
      </w:r>
      <w:r w:rsidR="00086C0C" w:rsidRPr="00357DC2">
        <w:rPr>
          <w:lang w:val="fr-FR"/>
        </w:rPr>
        <w:t>, §</w:t>
      </w:r>
      <w:r w:rsidR="00601F13" w:rsidRPr="00357DC2">
        <w:rPr>
          <w:lang w:val="fr-FR"/>
        </w:rPr>
        <w:t> </w:t>
      </w:r>
      <w:r w:rsidR="00086C0C" w:rsidRPr="00357DC2">
        <w:rPr>
          <w:lang w:val="fr-FR"/>
        </w:rPr>
        <w:t>38</w:t>
      </w:r>
      <w:r w:rsidR="003A4BAE" w:rsidRPr="00357DC2">
        <w:rPr>
          <w:lang w:val="fr-FR"/>
        </w:rPr>
        <w:t>, série </w:t>
      </w:r>
      <w:r w:rsidR="00FD018E" w:rsidRPr="00357DC2">
        <w:rPr>
          <w:lang w:val="fr-FR"/>
        </w:rPr>
        <w:t>A n</w:t>
      </w:r>
      <w:r w:rsidR="007A6B24" w:rsidRPr="00357DC2">
        <w:rPr>
          <w:vertAlign w:val="superscript"/>
          <w:lang w:val="fr-FR"/>
        </w:rPr>
        <w:t>o</w:t>
      </w:r>
      <w:r w:rsidR="00FD018E" w:rsidRPr="00357DC2">
        <w:rPr>
          <w:lang w:val="fr-FR"/>
        </w:rPr>
        <w:t xml:space="preserve"> 275). Le paragraphe 3 a) de l</w:t>
      </w:r>
      <w:r w:rsidR="00357DC2" w:rsidRPr="00357DC2">
        <w:rPr>
          <w:lang w:val="fr-FR"/>
        </w:rPr>
        <w:t>’</w:t>
      </w:r>
      <w:r w:rsidR="00FD018E" w:rsidRPr="00357DC2">
        <w:rPr>
          <w:lang w:val="fr-FR"/>
        </w:rPr>
        <w:t xml:space="preserve">article 6 </w:t>
      </w:r>
      <w:r w:rsidR="00F6044F" w:rsidRPr="00357DC2">
        <w:rPr>
          <w:lang w:val="fr-FR"/>
        </w:rPr>
        <w:t>de la Convention montre la nécessité de mettre un soin extrême à notifier l</w:t>
      </w:r>
      <w:r w:rsidR="00357DC2" w:rsidRPr="00357DC2">
        <w:rPr>
          <w:lang w:val="fr-FR"/>
        </w:rPr>
        <w:t>’</w:t>
      </w:r>
      <w:r w:rsidR="00F6044F" w:rsidRPr="00357DC2">
        <w:rPr>
          <w:lang w:val="fr-FR"/>
        </w:rPr>
        <w:t>« accusation » à l</w:t>
      </w:r>
      <w:r w:rsidR="00357DC2" w:rsidRPr="00357DC2">
        <w:rPr>
          <w:lang w:val="fr-FR"/>
        </w:rPr>
        <w:t>’</w:t>
      </w:r>
      <w:r w:rsidR="00F6044F" w:rsidRPr="00357DC2">
        <w:rPr>
          <w:lang w:val="fr-FR"/>
        </w:rPr>
        <w:t>intéressé. L</w:t>
      </w:r>
      <w:r w:rsidR="00357DC2" w:rsidRPr="00357DC2">
        <w:rPr>
          <w:lang w:val="fr-FR"/>
        </w:rPr>
        <w:t>’</w:t>
      </w:r>
      <w:r w:rsidR="00F6044F" w:rsidRPr="00357DC2">
        <w:rPr>
          <w:lang w:val="fr-FR"/>
        </w:rPr>
        <w:t>acte d</w:t>
      </w:r>
      <w:r w:rsidR="00357DC2" w:rsidRPr="00357DC2">
        <w:rPr>
          <w:lang w:val="fr-FR"/>
        </w:rPr>
        <w:t>’</w:t>
      </w:r>
      <w:r w:rsidR="00F6044F" w:rsidRPr="00357DC2">
        <w:rPr>
          <w:lang w:val="fr-FR"/>
        </w:rPr>
        <w:t>accusation joue un rôle déterminant dans les poursuites pénales : à compter de sa signification, l</w:t>
      </w:r>
      <w:r w:rsidR="00357DC2" w:rsidRPr="00357DC2">
        <w:rPr>
          <w:lang w:val="fr-FR"/>
        </w:rPr>
        <w:t>’</w:t>
      </w:r>
      <w:r w:rsidR="00F6044F" w:rsidRPr="00357DC2">
        <w:rPr>
          <w:lang w:val="fr-FR"/>
        </w:rPr>
        <w:t xml:space="preserve">inculpé est officiellement avisé par écrit de la base juridique et factuelle des reproches formulés contre lui. </w:t>
      </w:r>
      <w:r w:rsidR="00FD018E" w:rsidRPr="00357DC2">
        <w:rPr>
          <w:lang w:val="fr-FR"/>
        </w:rPr>
        <w:t>L</w:t>
      </w:r>
      <w:r w:rsidR="00357DC2" w:rsidRPr="00357DC2">
        <w:rPr>
          <w:lang w:val="fr-FR"/>
        </w:rPr>
        <w:t>’</w:t>
      </w:r>
      <w:r w:rsidR="003A4BAE" w:rsidRPr="00357DC2">
        <w:rPr>
          <w:lang w:val="fr-FR"/>
        </w:rPr>
        <w:t>article 6 § 3 </w:t>
      </w:r>
      <w:r w:rsidR="00FD018E" w:rsidRPr="00357DC2">
        <w:rPr>
          <w:lang w:val="fr-FR"/>
        </w:rPr>
        <w:t>a) de la Convention reconnaît à l</w:t>
      </w:r>
      <w:r w:rsidR="00357DC2" w:rsidRPr="00357DC2">
        <w:rPr>
          <w:lang w:val="fr-FR"/>
        </w:rPr>
        <w:t>’</w:t>
      </w:r>
      <w:r w:rsidR="00FD018E" w:rsidRPr="00357DC2">
        <w:rPr>
          <w:lang w:val="fr-FR"/>
        </w:rPr>
        <w:t xml:space="preserve">accusé le droit </w:t>
      </w:r>
      <w:r w:rsidR="00E7288B" w:rsidRPr="00357DC2">
        <w:rPr>
          <w:lang w:val="fr-FR"/>
        </w:rPr>
        <w:t xml:space="preserve">à </w:t>
      </w:r>
      <w:r w:rsidR="00FD018E" w:rsidRPr="00357DC2">
        <w:rPr>
          <w:lang w:val="fr-FR"/>
        </w:rPr>
        <w:t>être informé non seulement de la cause de l</w:t>
      </w:r>
      <w:r w:rsidR="00357DC2" w:rsidRPr="00357DC2">
        <w:rPr>
          <w:lang w:val="fr-FR"/>
        </w:rPr>
        <w:t>’</w:t>
      </w:r>
      <w:r w:rsidR="00FD018E" w:rsidRPr="00357DC2">
        <w:rPr>
          <w:lang w:val="fr-FR"/>
        </w:rPr>
        <w:t>« accusation », c</w:t>
      </w:r>
      <w:r w:rsidR="00357DC2" w:rsidRPr="00357DC2">
        <w:rPr>
          <w:lang w:val="fr-FR"/>
        </w:rPr>
        <w:t>’</w:t>
      </w:r>
      <w:r w:rsidR="00FD018E" w:rsidRPr="00357DC2">
        <w:rPr>
          <w:lang w:val="fr-FR"/>
        </w:rPr>
        <w:t>est-à-dire des faits matériels qui sont mis à sa charge et sur lesquels se fonde l</w:t>
      </w:r>
      <w:r w:rsidR="00357DC2" w:rsidRPr="00357DC2">
        <w:rPr>
          <w:lang w:val="fr-FR"/>
        </w:rPr>
        <w:t>’</w:t>
      </w:r>
      <w:r w:rsidR="00FD018E" w:rsidRPr="00357DC2">
        <w:rPr>
          <w:lang w:val="fr-FR"/>
        </w:rPr>
        <w:t>accusation, mais aussi de la qualification juridique donnée à ces faits, et ce d</w:t>
      </w:r>
      <w:r w:rsidR="00357DC2" w:rsidRPr="00357DC2">
        <w:rPr>
          <w:lang w:val="fr-FR"/>
        </w:rPr>
        <w:t>’</w:t>
      </w:r>
      <w:r w:rsidR="00FD018E" w:rsidRPr="00357DC2">
        <w:rPr>
          <w:lang w:val="fr-FR"/>
        </w:rPr>
        <w:t>une manière détaillée (</w:t>
      </w:r>
      <w:r w:rsidR="00FD018E" w:rsidRPr="00357DC2">
        <w:rPr>
          <w:i/>
          <w:lang w:val="fr-FR"/>
        </w:rPr>
        <w:t>Pélissier et Sassi c. France</w:t>
      </w:r>
      <w:r w:rsidR="008B77B8" w:rsidRPr="00357DC2">
        <w:rPr>
          <w:lang w:val="fr-FR"/>
        </w:rPr>
        <w:t xml:space="preserve"> [GC], n</w:t>
      </w:r>
      <w:r w:rsidR="007A6B24" w:rsidRPr="00357DC2">
        <w:rPr>
          <w:vertAlign w:val="superscript"/>
          <w:lang w:val="fr-FR"/>
        </w:rPr>
        <w:t>o</w:t>
      </w:r>
      <w:r w:rsidRPr="00357DC2">
        <w:rPr>
          <w:lang w:val="fr-FR"/>
        </w:rPr>
        <w:t xml:space="preserve"> 25444/94, § 51, CEDH</w:t>
      </w:r>
      <w:r w:rsidR="00601F13" w:rsidRPr="00357DC2">
        <w:rPr>
          <w:lang w:val="fr-FR"/>
        </w:rPr>
        <w:t> </w:t>
      </w:r>
      <w:r w:rsidRPr="00357DC2">
        <w:rPr>
          <w:lang w:val="fr-FR"/>
        </w:rPr>
        <w:t>199</w:t>
      </w:r>
      <w:r w:rsidR="00190A91" w:rsidRPr="00357DC2">
        <w:rPr>
          <w:lang w:val="fr-FR"/>
        </w:rPr>
        <w:t>9</w:t>
      </w:r>
      <w:r w:rsidR="00FD018E" w:rsidRPr="00357DC2">
        <w:rPr>
          <w:rFonts w:ascii="MS Mincho" w:eastAsia="MS Mincho" w:hAnsi="MS Mincho" w:cs="MS Mincho" w:hint="eastAsia"/>
          <w:lang w:val="fr-FR"/>
        </w:rPr>
        <w:t>‑</w:t>
      </w:r>
      <w:r w:rsidR="00EA3544" w:rsidRPr="00357DC2">
        <w:rPr>
          <w:lang w:val="fr-FR"/>
        </w:rPr>
        <w:t>II).</w:t>
      </w:r>
    </w:p>
    <w:p w:rsidR="006F6340" w:rsidRPr="00357DC2" w:rsidRDefault="00EA3544"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66</w:t>
      </w:r>
      <w:r w:rsidRPr="00357DC2">
        <w:rPr>
          <w:lang w:val="fr-FR"/>
        </w:rPr>
        <w:fldChar w:fldCharType="end"/>
      </w:r>
      <w:r w:rsidRPr="00357DC2">
        <w:rPr>
          <w:lang w:val="fr-FR"/>
        </w:rPr>
        <w:t>.  </w:t>
      </w:r>
      <w:r w:rsidR="00FD018E" w:rsidRPr="00357DC2">
        <w:rPr>
          <w:lang w:val="fr-FR"/>
        </w:rPr>
        <w:t>La portée de cette disposition doit notamment s</w:t>
      </w:r>
      <w:r w:rsidR="00357DC2" w:rsidRPr="00357DC2">
        <w:rPr>
          <w:lang w:val="fr-FR"/>
        </w:rPr>
        <w:t>’</w:t>
      </w:r>
      <w:r w:rsidR="00FD018E" w:rsidRPr="00357DC2">
        <w:rPr>
          <w:lang w:val="fr-FR"/>
        </w:rPr>
        <w:t>apprécier à la lumière du droit plus général à un procès équitable que garantit le paragraphe 1 de l</w:t>
      </w:r>
      <w:r w:rsidR="00357DC2" w:rsidRPr="00357DC2">
        <w:rPr>
          <w:lang w:val="fr-FR"/>
        </w:rPr>
        <w:t>’</w:t>
      </w:r>
      <w:r w:rsidR="00FD018E" w:rsidRPr="00357DC2">
        <w:rPr>
          <w:lang w:val="fr-FR"/>
        </w:rPr>
        <w:t>article 6 de la Convention. En matière pénale, une information précise et complète des charges pesant sur un accusé, et donc la qualification juridique que la juridiction pourrait retenir à son encontre, est une condition essentielle de l</w:t>
      </w:r>
      <w:r w:rsidR="00357DC2" w:rsidRPr="00357DC2">
        <w:rPr>
          <w:lang w:val="fr-FR"/>
        </w:rPr>
        <w:t>’</w:t>
      </w:r>
      <w:r w:rsidR="00FD018E" w:rsidRPr="00357DC2">
        <w:rPr>
          <w:lang w:val="fr-FR"/>
        </w:rPr>
        <w:t xml:space="preserve">équité de la procédure. </w:t>
      </w:r>
      <w:r w:rsidR="00CB328A" w:rsidRPr="00357DC2">
        <w:rPr>
          <w:rFonts w:cstheme="minorHAnsi"/>
          <w:lang w:val="fr-FR"/>
        </w:rPr>
        <w:t>À</w:t>
      </w:r>
      <w:r w:rsidR="00FD018E" w:rsidRPr="00357DC2">
        <w:rPr>
          <w:lang w:val="fr-FR"/>
        </w:rPr>
        <w:t xml:space="preserve"> cet égard, il convient d</w:t>
      </w:r>
      <w:r w:rsidR="00357DC2" w:rsidRPr="00357DC2">
        <w:rPr>
          <w:lang w:val="fr-FR"/>
        </w:rPr>
        <w:t>’</w:t>
      </w:r>
      <w:r w:rsidR="00FD018E" w:rsidRPr="00357DC2">
        <w:rPr>
          <w:lang w:val="fr-FR"/>
        </w:rPr>
        <w:t>observer que les dispositions de l</w:t>
      </w:r>
      <w:r w:rsidR="00357DC2" w:rsidRPr="00357DC2">
        <w:rPr>
          <w:lang w:val="fr-FR"/>
        </w:rPr>
        <w:t>’</w:t>
      </w:r>
      <w:r w:rsidR="00FD018E" w:rsidRPr="00357DC2">
        <w:rPr>
          <w:lang w:val="fr-FR"/>
        </w:rPr>
        <w:t>article 6 § 3 a) n</w:t>
      </w:r>
      <w:r w:rsidR="00357DC2" w:rsidRPr="00357DC2">
        <w:rPr>
          <w:lang w:val="fr-FR"/>
        </w:rPr>
        <w:t>’</w:t>
      </w:r>
      <w:r w:rsidR="00FD018E" w:rsidRPr="00357DC2">
        <w:rPr>
          <w:lang w:val="fr-FR"/>
        </w:rPr>
        <w:t>imposent aucune forme particulière quant à la manière dont l</w:t>
      </w:r>
      <w:r w:rsidR="00357DC2" w:rsidRPr="00357DC2">
        <w:rPr>
          <w:lang w:val="fr-FR"/>
        </w:rPr>
        <w:t>’</w:t>
      </w:r>
      <w:r w:rsidR="00FD018E" w:rsidRPr="00357DC2">
        <w:rPr>
          <w:lang w:val="fr-FR"/>
        </w:rPr>
        <w:t>accusé doit être informé de la nature et de la cause de l</w:t>
      </w:r>
      <w:r w:rsidR="00357DC2" w:rsidRPr="00357DC2">
        <w:rPr>
          <w:lang w:val="fr-FR"/>
        </w:rPr>
        <w:t>’</w:t>
      </w:r>
      <w:r w:rsidR="00FD018E" w:rsidRPr="00357DC2">
        <w:rPr>
          <w:lang w:val="fr-FR"/>
        </w:rPr>
        <w:t>accusation portée contre lui. La Cour rappelle par ailleurs qu</w:t>
      </w:r>
      <w:r w:rsidR="00357DC2" w:rsidRPr="00357DC2">
        <w:rPr>
          <w:lang w:val="fr-FR"/>
        </w:rPr>
        <w:t>’</w:t>
      </w:r>
      <w:r w:rsidR="00FD018E" w:rsidRPr="00357DC2">
        <w:rPr>
          <w:lang w:val="fr-FR"/>
        </w:rPr>
        <w:t>il existe un lien entre les alinéas a) et b) de l</w:t>
      </w:r>
      <w:r w:rsidR="00357DC2" w:rsidRPr="00357DC2">
        <w:rPr>
          <w:lang w:val="fr-FR"/>
        </w:rPr>
        <w:t>’</w:t>
      </w:r>
      <w:r w:rsidR="00FD018E" w:rsidRPr="00357DC2">
        <w:rPr>
          <w:lang w:val="fr-FR"/>
        </w:rPr>
        <w:t>article 6 § 3 et que le droit à être informé de la nature et de la cause de l</w:t>
      </w:r>
      <w:r w:rsidR="00357DC2" w:rsidRPr="00357DC2">
        <w:rPr>
          <w:lang w:val="fr-FR"/>
        </w:rPr>
        <w:t>’</w:t>
      </w:r>
      <w:r w:rsidR="00FD018E" w:rsidRPr="00357DC2">
        <w:rPr>
          <w:lang w:val="fr-FR"/>
        </w:rPr>
        <w:t>accusation doit être envisagé à la lumière du droit pour l</w:t>
      </w:r>
      <w:r w:rsidR="00357DC2" w:rsidRPr="00357DC2">
        <w:rPr>
          <w:lang w:val="fr-FR"/>
        </w:rPr>
        <w:t>’</w:t>
      </w:r>
      <w:r w:rsidR="00FD018E" w:rsidRPr="00357DC2">
        <w:rPr>
          <w:lang w:val="fr-FR"/>
        </w:rPr>
        <w:t>accusé de préparer sa défense (</w:t>
      </w:r>
      <w:r w:rsidR="00FD018E" w:rsidRPr="00357DC2">
        <w:rPr>
          <w:i/>
          <w:lang w:val="fr-FR"/>
        </w:rPr>
        <w:t>ibidem</w:t>
      </w:r>
      <w:r w:rsidR="00FD018E" w:rsidRPr="00357DC2">
        <w:rPr>
          <w:lang w:val="fr-FR"/>
        </w:rPr>
        <w:t>, §§</w:t>
      </w:r>
      <w:r w:rsidR="00601F13" w:rsidRPr="00357DC2">
        <w:rPr>
          <w:lang w:val="fr-FR"/>
        </w:rPr>
        <w:t> </w:t>
      </w:r>
      <w:r w:rsidR="00FD018E" w:rsidRPr="00357DC2">
        <w:rPr>
          <w:lang w:val="fr-FR"/>
        </w:rPr>
        <w:t>52-54).</w:t>
      </w:r>
    </w:p>
    <w:p w:rsidR="007066FD" w:rsidRPr="00357DC2" w:rsidRDefault="006D7673"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67</w:t>
      </w:r>
      <w:r w:rsidRPr="00357DC2">
        <w:rPr>
          <w:lang w:val="fr-FR"/>
        </w:rPr>
        <w:fldChar w:fldCharType="end"/>
      </w:r>
      <w:r w:rsidRPr="00357DC2">
        <w:rPr>
          <w:lang w:val="fr-FR"/>
        </w:rPr>
        <w:t>.  </w:t>
      </w:r>
      <w:r w:rsidR="00966E7D" w:rsidRPr="00357DC2">
        <w:rPr>
          <w:lang w:val="fr-FR"/>
        </w:rPr>
        <w:t xml:space="preserve">Se tournant vers les </w:t>
      </w:r>
      <w:r w:rsidR="00AA5E82" w:rsidRPr="00357DC2">
        <w:rPr>
          <w:lang w:val="fr-FR"/>
        </w:rPr>
        <w:t>faits de l</w:t>
      </w:r>
      <w:r w:rsidR="00357DC2" w:rsidRPr="00357DC2">
        <w:rPr>
          <w:lang w:val="fr-FR"/>
        </w:rPr>
        <w:t>’</w:t>
      </w:r>
      <w:r w:rsidR="00AA5E82" w:rsidRPr="00357DC2">
        <w:rPr>
          <w:lang w:val="fr-FR"/>
        </w:rPr>
        <w:t xml:space="preserve">espèce, la </w:t>
      </w:r>
      <w:r w:rsidR="007066FD" w:rsidRPr="00357DC2">
        <w:rPr>
          <w:lang w:val="fr-FR"/>
        </w:rPr>
        <w:t xml:space="preserve">Cour observe que la question qui se pose est </w:t>
      </w:r>
      <w:r w:rsidR="002C79E1" w:rsidRPr="00357DC2">
        <w:rPr>
          <w:lang w:val="fr-FR"/>
        </w:rPr>
        <w:t xml:space="preserve">celle </w:t>
      </w:r>
      <w:r w:rsidR="007066FD" w:rsidRPr="00357DC2">
        <w:rPr>
          <w:lang w:val="fr-FR"/>
        </w:rPr>
        <w:t>de savoir si la procédure pénale ouverte à la suite de l</w:t>
      </w:r>
      <w:r w:rsidR="00357DC2" w:rsidRPr="00357DC2">
        <w:rPr>
          <w:lang w:val="fr-FR"/>
        </w:rPr>
        <w:t>’</w:t>
      </w:r>
      <w:r w:rsidR="007066FD" w:rsidRPr="00357DC2">
        <w:rPr>
          <w:lang w:val="fr-FR"/>
        </w:rPr>
        <w:t xml:space="preserve">arrêt </w:t>
      </w:r>
      <w:r w:rsidR="00F539C1" w:rsidRPr="00357DC2">
        <w:rPr>
          <w:lang w:val="fr-FR"/>
        </w:rPr>
        <w:t>qu</w:t>
      </w:r>
      <w:r w:rsidR="00357DC2" w:rsidRPr="00357DC2">
        <w:rPr>
          <w:lang w:val="fr-FR"/>
        </w:rPr>
        <w:t>’</w:t>
      </w:r>
      <w:r w:rsidR="00F539C1" w:rsidRPr="00357DC2">
        <w:rPr>
          <w:lang w:val="fr-FR"/>
        </w:rPr>
        <w:t>elle a</w:t>
      </w:r>
      <w:r w:rsidR="007066FD" w:rsidRPr="00357DC2">
        <w:rPr>
          <w:lang w:val="fr-FR"/>
        </w:rPr>
        <w:t xml:space="preserve"> rendu dans l</w:t>
      </w:r>
      <w:r w:rsidR="00357DC2" w:rsidRPr="00357DC2">
        <w:rPr>
          <w:lang w:val="fr-FR"/>
        </w:rPr>
        <w:t>’</w:t>
      </w:r>
      <w:r w:rsidR="007066FD" w:rsidRPr="00357DC2">
        <w:rPr>
          <w:lang w:val="fr-FR"/>
        </w:rPr>
        <w:t xml:space="preserve">affaire </w:t>
      </w:r>
      <w:r w:rsidR="007066FD" w:rsidRPr="00357DC2">
        <w:rPr>
          <w:i/>
          <w:lang w:val="fr-FR"/>
        </w:rPr>
        <w:t>Drassich c</w:t>
      </w:r>
      <w:r w:rsidR="009C4BD6" w:rsidRPr="00357DC2">
        <w:rPr>
          <w:i/>
          <w:lang w:val="fr-FR"/>
        </w:rPr>
        <w:t>.</w:t>
      </w:r>
      <w:r w:rsidR="007066FD" w:rsidRPr="00357DC2">
        <w:rPr>
          <w:i/>
          <w:lang w:val="fr-FR"/>
        </w:rPr>
        <w:t xml:space="preserve"> Italie</w:t>
      </w:r>
      <w:r w:rsidR="007066FD" w:rsidRPr="00357DC2">
        <w:rPr>
          <w:lang w:val="fr-FR"/>
        </w:rPr>
        <w:t xml:space="preserve"> </w:t>
      </w:r>
      <w:r w:rsidR="00F539C1" w:rsidRPr="00357DC2">
        <w:rPr>
          <w:lang w:val="fr-FR"/>
        </w:rPr>
        <w:t>était</w:t>
      </w:r>
      <w:r w:rsidR="007066FD" w:rsidRPr="00357DC2">
        <w:rPr>
          <w:lang w:val="fr-FR"/>
        </w:rPr>
        <w:t xml:space="preserve"> conforme aux standards de la Convention et si le requérant a été rejugé dans le respect des garanties d</w:t>
      </w:r>
      <w:r w:rsidR="00357DC2" w:rsidRPr="00357DC2">
        <w:rPr>
          <w:lang w:val="fr-FR"/>
        </w:rPr>
        <w:t>’</w:t>
      </w:r>
      <w:r w:rsidR="007066FD" w:rsidRPr="00357DC2">
        <w:rPr>
          <w:lang w:val="fr-FR"/>
        </w:rPr>
        <w:t xml:space="preserve">un procès équitable. </w:t>
      </w:r>
      <w:r w:rsidR="00422CE4" w:rsidRPr="00357DC2">
        <w:rPr>
          <w:lang w:val="fr-FR"/>
        </w:rPr>
        <w:t>En l</w:t>
      </w:r>
      <w:r w:rsidR="00357DC2" w:rsidRPr="00357DC2">
        <w:rPr>
          <w:lang w:val="fr-FR"/>
        </w:rPr>
        <w:t>’</w:t>
      </w:r>
      <w:r w:rsidR="00422CE4" w:rsidRPr="00357DC2">
        <w:rPr>
          <w:lang w:val="fr-FR"/>
        </w:rPr>
        <w:t xml:space="preserve">occurrence, </w:t>
      </w:r>
      <w:r w:rsidR="001A1CD4" w:rsidRPr="00357DC2">
        <w:rPr>
          <w:lang w:val="fr-FR"/>
        </w:rPr>
        <w:t>il s</w:t>
      </w:r>
      <w:r w:rsidR="00357DC2" w:rsidRPr="00357DC2">
        <w:rPr>
          <w:lang w:val="fr-FR"/>
        </w:rPr>
        <w:t>’</w:t>
      </w:r>
      <w:r w:rsidR="001A1CD4" w:rsidRPr="00357DC2">
        <w:rPr>
          <w:lang w:val="fr-FR"/>
        </w:rPr>
        <w:t xml:space="preserve">agit de rechercher </w:t>
      </w:r>
      <w:r w:rsidR="00C5266C" w:rsidRPr="00357DC2">
        <w:rPr>
          <w:lang w:val="fr-FR"/>
        </w:rPr>
        <w:t>tout d</w:t>
      </w:r>
      <w:r w:rsidR="00357DC2" w:rsidRPr="00357DC2">
        <w:rPr>
          <w:lang w:val="fr-FR"/>
        </w:rPr>
        <w:t>’</w:t>
      </w:r>
      <w:r w:rsidR="00C5266C" w:rsidRPr="00357DC2">
        <w:rPr>
          <w:lang w:val="fr-FR"/>
        </w:rPr>
        <w:t xml:space="preserve">abord si le requérant a </w:t>
      </w:r>
      <w:r w:rsidR="00E334A3" w:rsidRPr="00357DC2">
        <w:rPr>
          <w:lang w:val="fr-FR"/>
        </w:rPr>
        <w:t>été adéquatement informé de la nature et de la cause de l</w:t>
      </w:r>
      <w:r w:rsidR="00357DC2" w:rsidRPr="00357DC2">
        <w:rPr>
          <w:lang w:val="fr-FR"/>
        </w:rPr>
        <w:t>’</w:t>
      </w:r>
      <w:r w:rsidR="00E334A3" w:rsidRPr="00357DC2">
        <w:rPr>
          <w:lang w:val="fr-FR"/>
        </w:rPr>
        <w:t xml:space="preserve">accusation </w:t>
      </w:r>
      <w:r w:rsidR="00987A4A" w:rsidRPr="00357DC2">
        <w:rPr>
          <w:lang w:val="fr-FR"/>
        </w:rPr>
        <w:t>portée</w:t>
      </w:r>
      <w:r w:rsidR="00D35181" w:rsidRPr="00357DC2">
        <w:rPr>
          <w:lang w:val="fr-FR"/>
        </w:rPr>
        <w:t xml:space="preserve"> </w:t>
      </w:r>
      <w:r w:rsidR="005E3033" w:rsidRPr="00357DC2">
        <w:rPr>
          <w:lang w:val="fr-FR"/>
        </w:rPr>
        <w:t>contre lui</w:t>
      </w:r>
      <w:r w:rsidR="00E334A3" w:rsidRPr="00357DC2">
        <w:rPr>
          <w:lang w:val="fr-FR"/>
        </w:rPr>
        <w:t>.</w:t>
      </w:r>
    </w:p>
    <w:p w:rsidR="007A6B24" w:rsidRPr="00357DC2" w:rsidRDefault="007066FD" w:rsidP="00357DC2">
      <w:pPr>
        <w:pStyle w:val="ECHRPara"/>
        <w:keepNext/>
        <w:keepLines/>
        <w:rPr>
          <w:lang w:val="fr-FR"/>
        </w:rPr>
      </w:pPr>
      <w:r w:rsidRPr="00357DC2">
        <w:rPr>
          <w:lang w:val="fr-FR"/>
        </w:rPr>
        <w:lastRenderedPageBreak/>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68</w:t>
      </w:r>
      <w:r w:rsidRPr="00357DC2">
        <w:rPr>
          <w:lang w:val="fr-FR"/>
        </w:rPr>
        <w:fldChar w:fldCharType="end"/>
      </w:r>
      <w:r w:rsidRPr="00357DC2">
        <w:rPr>
          <w:lang w:val="fr-FR"/>
        </w:rPr>
        <w:t>.  </w:t>
      </w:r>
      <w:r w:rsidR="00DE63F8" w:rsidRPr="00357DC2">
        <w:rPr>
          <w:rFonts w:cstheme="minorHAnsi"/>
          <w:lang w:val="fr-FR"/>
        </w:rPr>
        <w:t>À</w:t>
      </w:r>
      <w:r w:rsidRPr="00357DC2">
        <w:rPr>
          <w:lang w:val="fr-FR"/>
        </w:rPr>
        <w:t xml:space="preserve"> ce propos, </w:t>
      </w:r>
      <w:r w:rsidR="00987A4A" w:rsidRPr="00357DC2">
        <w:rPr>
          <w:lang w:val="fr-FR"/>
        </w:rPr>
        <w:t>la Cour</w:t>
      </w:r>
      <w:r w:rsidR="00DB4875" w:rsidRPr="00357DC2">
        <w:rPr>
          <w:lang w:val="fr-FR"/>
        </w:rPr>
        <w:t xml:space="preserve"> </w:t>
      </w:r>
      <w:r w:rsidR="00AA5E82" w:rsidRPr="00357DC2">
        <w:rPr>
          <w:lang w:val="fr-FR"/>
        </w:rPr>
        <w:t xml:space="preserve">observe </w:t>
      </w:r>
      <w:r w:rsidR="006C7BE4" w:rsidRPr="00357DC2">
        <w:rPr>
          <w:lang w:val="fr-FR"/>
        </w:rPr>
        <w:t xml:space="preserve">que la </w:t>
      </w:r>
      <w:r w:rsidR="00966E7D" w:rsidRPr="00357DC2">
        <w:rPr>
          <w:lang w:val="fr-FR"/>
        </w:rPr>
        <w:t xml:space="preserve">procédure pénale </w:t>
      </w:r>
      <w:r w:rsidR="00CB328A" w:rsidRPr="00357DC2">
        <w:rPr>
          <w:lang w:val="fr-FR"/>
        </w:rPr>
        <w:t xml:space="preserve">a été rouverte </w:t>
      </w:r>
      <w:r w:rsidR="00966E7D" w:rsidRPr="00357DC2">
        <w:rPr>
          <w:lang w:val="fr-FR"/>
        </w:rPr>
        <w:t xml:space="preserve">contre le requérant </w:t>
      </w:r>
      <w:r w:rsidR="00354374" w:rsidRPr="00357DC2">
        <w:rPr>
          <w:lang w:val="fr-FR"/>
        </w:rPr>
        <w:t>pour permettre à la Cour de cassation</w:t>
      </w:r>
      <w:r w:rsidR="006C7BE4" w:rsidRPr="00357DC2">
        <w:rPr>
          <w:lang w:val="fr-FR"/>
        </w:rPr>
        <w:t>,</w:t>
      </w:r>
      <w:r w:rsidR="00A56551" w:rsidRPr="00357DC2">
        <w:rPr>
          <w:lang w:val="fr-FR"/>
        </w:rPr>
        <w:t xml:space="preserve"> </w:t>
      </w:r>
      <w:r w:rsidR="003A034C" w:rsidRPr="00357DC2">
        <w:rPr>
          <w:lang w:val="fr-FR"/>
        </w:rPr>
        <w:t>à savoir</w:t>
      </w:r>
      <w:r w:rsidR="00D47564" w:rsidRPr="00357DC2">
        <w:rPr>
          <w:lang w:val="fr-FR"/>
        </w:rPr>
        <w:t xml:space="preserve"> </w:t>
      </w:r>
      <w:r w:rsidR="00987A4A" w:rsidRPr="00357DC2">
        <w:rPr>
          <w:lang w:val="fr-FR"/>
        </w:rPr>
        <w:t xml:space="preserve">la </w:t>
      </w:r>
      <w:r w:rsidR="00D47564" w:rsidRPr="00357DC2">
        <w:rPr>
          <w:lang w:val="fr-FR"/>
        </w:rPr>
        <w:t>juridiction</w:t>
      </w:r>
      <w:r w:rsidR="006C7BE4" w:rsidRPr="00357DC2">
        <w:rPr>
          <w:lang w:val="fr-FR"/>
        </w:rPr>
        <w:t xml:space="preserve"> </w:t>
      </w:r>
      <w:r w:rsidR="003A034C" w:rsidRPr="00357DC2">
        <w:rPr>
          <w:lang w:val="fr-FR"/>
        </w:rPr>
        <w:t>qui avait décidé</w:t>
      </w:r>
      <w:r w:rsidR="006C7BE4" w:rsidRPr="00357DC2">
        <w:rPr>
          <w:lang w:val="fr-FR"/>
        </w:rPr>
        <w:t xml:space="preserve"> la</w:t>
      </w:r>
      <w:r w:rsidR="00354374" w:rsidRPr="00357DC2">
        <w:rPr>
          <w:lang w:val="fr-FR"/>
        </w:rPr>
        <w:t xml:space="preserve"> </w:t>
      </w:r>
      <w:r w:rsidR="006C7BE4" w:rsidRPr="00357DC2">
        <w:rPr>
          <w:lang w:val="fr-FR"/>
        </w:rPr>
        <w:t xml:space="preserve">requalification </w:t>
      </w:r>
      <w:r w:rsidR="00D47564" w:rsidRPr="00357DC2">
        <w:rPr>
          <w:lang w:val="fr-FR"/>
        </w:rPr>
        <w:t>judiciaire litigieuse,</w:t>
      </w:r>
      <w:r w:rsidR="006C7BE4" w:rsidRPr="00357DC2">
        <w:rPr>
          <w:lang w:val="fr-FR"/>
        </w:rPr>
        <w:t xml:space="preserve"> </w:t>
      </w:r>
      <w:r w:rsidR="00354374" w:rsidRPr="00357DC2">
        <w:rPr>
          <w:lang w:val="fr-FR"/>
        </w:rPr>
        <w:t>de se conformer à</w:t>
      </w:r>
      <w:r w:rsidR="008666EF" w:rsidRPr="00357DC2">
        <w:rPr>
          <w:lang w:val="fr-FR"/>
        </w:rPr>
        <w:t xml:space="preserve"> l</w:t>
      </w:r>
      <w:r w:rsidR="00357DC2" w:rsidRPr="00357DC2">
        <w:rPr>
          <w:lang w:val="fr-FR"/>
        </w:rPr>
        <w:t>’</w:t>
      </w:r>
      <w:r w:rsidR="008666EF" w:rsidRPr="00357DC2">
        <w:rPr>
          <w:lang w:val="fr-FR"/>
        </w:rPr>
        <w:t>arrêt de violation de la Cour</w:t>
      </w:r>
      <w:r w:rsidR="00F539C1" w:rsidRPr="00357DC2">
        <w:rPr>
          <w:lang w:val="fr-FR"/>
        </w:rPr>
        <w:t xml:space="preserve"> de Strasbourg</w:t>
      </w:r>
      <w:r w:rsidR="00EE1969" w:rsidRPr="00357DC2">
        <w:rPr>
          <w:lang w:val="fr-FR"/>
        </w:rPr>
        <w:t>.</w:t>
      </w:r>
      <w:r w:rsidR="008666EF" w:rsidRPr="00357DC2">
        <w:rPr>
          <w:lang w:val="fr-FR"/>
        </w:rPr>
        <w:t xml:space="preserve"> </w:t>
      </w:r>
      <w:r w:rsidR="00EE1969" w:rsidRPr="00357DC2">
        <w:rPr>
          <w:lang w:val="fr-FR"/>
        </w:rPr>
        <w:t>Dans</w:t>
      </w:r>
      <w:r w:rsidR="001A1A53" w:rsidRPr="00357DC2">
        <w:rPr>
          <w:lang w:val="fr-FR"/>
        </w:rPr>
        <w:t xml:space="preserve"> ce contex</w:t>
      </w:r>
      <w:r w:rsidR="008B77B8" w:rsidRPr="00357DC2">
        <w:rPr>
          <w:lang w:val="fr-FR"/>
        </w:rPr>
        <w:t xml:space="preserve">te, </w:t>
      </w:r>
      <w:r w:rsidR="00B3010A" w:rsidRPr="00357DC2">
        <w:rPr>
          <w:lang w:val="fr-FR"/>
        </w:rPr>
        <w:t>par son arrêt du 12 </w:t>
      </w:r>
      <w:r w:rsidR="00BE7C51" w:rsidRPr="00357DC2">
        <w:rPr>
          <w:lang w:val="fr-FR"/>
        </w:rPr>
        <w:t xml:space="preserve">novembre 2008, </w:t>
      </w:r>
      <w:r w:rsidR="00624804" w:rsidRPr="00357DC2">
        <w:rPr>
          <w:lang w:val="fr-FR"/>
        </w:rPr>
        <w:t xml:space="preserve">la </w:t>
      </w:r>
      <w:r w:rsidR="00987A4A" w:rsidRPr="00357DC2">
        <w:rPr>
          <w:lang w:val="fr-FR"/>
        </w:rPr>
        <w:t>haute juridiction italienne</w:t>
      </w:r>
      <w:r w:rsidR="00624804" w:rsidRPr="00357DC2">
        <w:rPr>
          <w:lang w:val="fr-FR"/>
        </w:rPr>
        <w:t xml:space="preserve"> </w:t>
      </w:r>
      <w:r w:rsidR="00CB328A" w:rsidRPr="00357DC2">
        <w:rPr>
          <w:lang w:val="fr-FR"/>
        </w:rPr>
        <w:t xml:space="preserve">a </w:t>
      </w:r>
      <w:r w:rsidR="00624804" w:rsidRPr="00357DC2">
        <w:rPr>
          <w:lang w:val="fr-FR"/>
        </w:rPr>
        <w:t>décid</w:t>
      </w:r>
      <w:r w:rsidR="00CB328A" w:rsidRPr="00357DC2">
        <w:rPr>
          <w:lang w:val="fr-FR"/>
        </w:rPr>
        <w:t>é</w:t>
      </w:r>
      <w:r w:rsidR="00624804" w:rsidRPr="00357DC2">
        <w:rPr>
          <w:lang w:val="fr-FR"/>
        </w:rPr>
        <w:t xml:space="preserve"> </w:t>
      </w:r>
      <w:r w:rsidR="00DB4875" w:rsidRPr="00357DC2">
        <w:rPr>
          <w:lang w:val="fr-FR"/>
        </w:rPr>
        <w:t>de révoquer la condamnation</w:t>
      </w:r>
      <w:r w:rsidR="00571F13" w:rsidRPr="00357DC2">
        <w:rPr>
          <w:lang w:val="fr-FR"/>
        </w:rPr>
        <w:t xml:space="preserve"> </w:t>
      </w:r>
      <w:r w:rsidR="00560D67" w:rsidRPr="00357DC2">
        <w:rPr>
          <w:lang w:val="fr-FR"/>
        </w:rPr>
        <w:t xml:space="preserve">du requérant </w:t>
      </w:r>
      <w:r w:rsidR="00571F13" w:rsidRPr="00357DC2">
        <w:rPr>
          <w:lang w:val="fr-FR"/>
        </w:rPr>
        <w:t xml:space="preserve">dans </w:t>
      </w:r>
      <w:r w:rsidR="00CB328A" w:rsidRPr="00357DC2">
        <w:rPr>
          <w:lang w:val="fr-FR"/>
        </w:rPr>
        <w:t>s</w:t>
      </w:r>
      <w:r w:rsidR="00571F13" w:rsidRPr="00357DC2">
        <w:rPr>
          <w:lang w:val="fr-FR"/>
        </w:rPr>
        <w:t xml:space="preserve">a partie relative à </w:t>
      </w:r>
      <w:r w:rsidR="00987A4A" w:rsidRPr="00357DC2">
        <w:rPr>
          <w:lang w:val="fr-FR"/>
        </w:rPr>
        <w:t>l</w:t>
      </w:r>
      <w:r w:rsidR="00357DC2" w:rsidRPr="00357DC2">
        <w:rPr>
          <w:lang w:val="fr-FR"/>
        </w:rPr>
        <w:t>’</w:t>
      </w:r>
      <w:r w:rsidR="00987A4A" w:rsidRPr="00357DC2">
        <w:rPr>
          <w:lang w:val="fr-FR"/>
        </w:rPr>
        <w:t>accusation</w:t>
      </w:r>
      <w:r w:rsidR="00571F13" w:rsidRPr="00357DC2">
        <w:rPr>
          <w:lang w:val="fr-FR"/>
        </w:rPr>
        <w:t xml:space="preserve"> de corruption dans </w:t>
      </w:r>
      <w:r w:rsidR="00CB328A" w:rsidRPr="00357DC2">
        <w:rPr>
          <w:lang w:val="fr-FR"/>
        </w:rPr>
        <w:t>d</w:t>
      </w:r>
      <w:r w:rsidR="00571F13" w:rsidRPr="00357DC2">
        <w:rPr>
          <w:lang w:val="fr-FR"/>
        </w:rPr>
        <w:t>es actes judiciaires</w:t>
      </w:r>
      <w:r w:rsidR="00987A4A" w:rsidRPr="00357DC2">
        <w:rPr>
          <w:lang w:val="fr-FR"/>
        </w:rPr>
        <w:t xml:space="preserve"> et de procéder à un réexamen du recours en cassation du requérant dans le but de permettre à ce dernier de débattre </w:t>
      </w:r>
      <w:r w:rsidR="00CB328A" w:rsidRPr="00357DC2">
        <w:rPr>
          <w:lang w:val="fr-FR"/>
        </w:rPr>
        <w:t xml:space="preserve">de </w:t>
      </w:r>
      <w:r w:rsidR="00126034" w:rsidRPr="00357DC2">
        <w:rPr>
          <w:lang w:val="fr-FR"/>
        </w:rPr>
        <w:t>la question de la qualification juridique de l</w:t>
      </w:r>
      <w:r w:rsidR="00357DC2" w:rsidRPr="00357DC2">
        <w:rPr>
          <w:lang w:val="fr-FR"/>
        </w:rPr>
        <w:t>’</w:t>
      </w:r>
      <w:r w:rsidR="00126034" w:rsidRPr="00357DC2">
        <w:rPr>
          <w:lang w:val="fr-FR"/>
        </w:rPr>
        <w:t>accusation</w:t>
      </w:r>
      <w:r w:rsidR="00987A4A" w:rsidRPr="00357DC2">
        <w:rPr>
          <w:lang w:val="fr-FR"/>
        </w:rPr>
        <w:t xml:space="preserve"> (paragraphe </w:t>
      </w:r>
      <w:r w:rsidR="00BE349A" w:rsidRPr="00357DC2">
        <w:rPr>
          <w:lang w:val="fr-FR"/>
        </w:rPr>
        <w:fldChar w:fldCharType="begin"/>
      </w:r>
      <w:r w:rsidR="00BE349A" w:rsidRPr="00357DC2">
        <w:rPr>
          <w:lang w:val="fr-FR"/>
        </w:rPr>
        <w:instrText xml:space="preserve"> REF arrêt2008 \h </w:instrText>
      </w:r>
      <w:r w:rsidR="00BE349A" w:rsidRPr="00357DC2">
        <w:rPr>
          <w:lang w:val="fr-FR"/>
        </w:rPr>
      </w:r>
      <w:r w:rsidR="00BE349A" w:rsidRPr="00357DC2">
        <w:rPr>
          <w:lang w:val="fr-FR"/>
        </w:rPr>
        <w:fldChar w:fldCharType="separate"/>
      </w:r>
      <w:r w:rsidR="00357DC2" w:rsidRPr="00357DC2">
        <w:rPr>
          <w:noProof/>
          <w:lang w:val="fr-FR"/>
        </w:rPr>
        <w:t>21</w:t>
      </w:r>
      <w:r w:rsidR="00BE349A" w:rsidRPr="00357DC2">
        <w:rPr>
          <w:lang w:val="fr-FR"/>
        </w:rPr>
        <w:fldChar w:fldCharType="end"/>
      </w:r>
      <w:r w:rsidR="00987A4A" w:rsidRPr="00357DC2">
        <w:rPr>
          <w:lang w:val="fr-FR"/>
        </w:rPr>
        <w:t xml:space="preserve"> ci-dessus)</w:t>
      </w:r>
      <w:r w:rsidR="00571F13" w:rsidRPr="00357DC2">
        <w:rPr>
          <w:lang w:val="fr-FR"/>
        </w:rPr>
        <w:t>.</w:t>
      </w:r>
    </w:p>
    <w:p w:rsidR="00987A4A" w:rsidRPr="00357DC2" w:rsidRDefault="00126034"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69</w:t>
      </w:r>
      <w:r w:rsidRPr="00357DC2">
        <w:rPr>
          <w:lang w:val="fr-FR"/>
        </w:rPr>
        <w:fldChar w:fldCharType="end"/>
      </w:r>
      <w:r w:rsidRPr="00357DC2">
        <w:rPr>
          <w:lang w:val="fr-FR"/>
        </w:rPr>
        <w:t>.  </w:t>
      </w:r>
      <w:r w:rsidR="000C3248" w:rsidRPr="00357DC2">
        <w:rPr>
          <w:lang w:val="fr-FR"/>
        </w:rPr>
        <w:t>Le Cour estime que</w:t>
      </w:r>
      <w:r w:rsidR="008373D6" w:rsidRPr="00357DC2">
        <w:rPr>
          <w:lang w:val="fr-FR"/>
        </w:rPr>
        <w:t>,</w:t>
      </w:r>
      <w:r w:rsidR="003133BB" w:rsidRPr="00357DC2">
        <w:rPr>
          <w:lang w:val="fr-FR"/>
        </w:rPr>
        <w:t xml:space="preserve"> compte tenu des </w:t>
      </w:r>
      <w:r w:rsidR="008373D6" w:rsidRPr="00357DC2">
        <w:rPr>
          <w:lang w:val="fr-FR"/>
        </w:rPr>
        <w:t>raisons de</w:t>
      </w:r>
      <w:r w:rsidR="003133BB" w:rsidRPr="00357DC2">
        <w:rPr>
          <w:lang w:val="fr-FR"/>
        </w:rPr>
        <w:t xml:space="preserve"> la </w:t>
      </w:r>
      <w:r w:rsidRPr="00357DC2">
        <w:rPr>
          <w:lang w:val="fr-FR"/>
        </w:rPr>
        <w:t>réouverture</w:t>
      </w:r>
      <w:r w:rsidR="003133BB" w:rsidRPr="00357DC2">
        <w:rPr>
          <w:lang w:val="fr-FR"/>
        </w:rPr>
        <w:t xml:space="preserve"> du procès </w:t>
      </w:r>
      <w:r w:rsidR="008373D6" w:rsidRPr="00357DC2">
        <w:rPr>
          <w:lang w:val="fr-FR"/>
        </w:rPr>
        <w:t>du</w:t>
      </w:r>
      <w:r w:rsidR="003133BB" w:rsidRPr="00357DC2">
        <w:rPr>
          <w:lang w:val="fr-FR"/>
        </w:rPr>
        <w:t xml:space="preserve"> requérant et à la lumière des </w:t>
      </w:r>
      <w:r w:rsidRPr="00357DC2">
        <w:rPr>
          <w:lang w:val="fr-FR"/>
        </w:rPr>
        <w:t xml:space="preserve">indications </w:t>
      </w:r>
      <w:r w:rsidR="000C3248" w:rsidRPr="00357DC2">
        <w:rPr>
          <w:lang w:val="fr-FR"/>
        </w:rPr>
        <w:t>contenues dans l</w:t>
      </w:r>
      <w:r w:rsidR="00357DC2" w:rsidRPr="00357DC2">
        <w:rPr>
          <w:lang w:val="fr-FR"/>
        </w:rPr>
        <w:t>’</w:t>
      </w:r>
      <w:r w:rsidR="000C3248" w:rsidRPr="00357DC2">
        <w:rPr>
          <w:lang w:val="fr-FR"/>
        </w:rPr>
        <w:t xml:space="preserve">arrêt de la </w:t>
      </w:r>
      <w:r w:rsidR="003133BB" w:rsidRPr="00357DC2">
        <w:rPr>
          <w:lang w:val="fr-FR"/>
        </w:rPr>
        <w:t xml:space="preserve">Cour de </w:t>
      </w:r>
      <w:r w:rsidR="000C3248" w:rsidRPr="00357DC2">
        <w:rPr>
          <w:lang w:val="fr-FR"/>
        </w:rPr>
        <w:t xml:space="preserve">cassation </w:t>
      </w:r>
      <w:r w:rsidR="003133BB" w:rsidRPr="00357DC2">
        <w:rPr>
          <w:lang w:val="fr-FR"/>
        </w:rPr>
        <w:t xml:space="preserve">de 2008, on ne saurait considérer que le requérant </w:t>
      </w:r>
      <w:r w:rsidR="000256C9" w:rsidRPr="00357DC2">
        <w:rPr>
          <w:lang w:val="fr-FR"/>
        </w:rPr>
        <w:t>n</w:t>
      </w:r>
      <w:r w:rsidR="00357DC2" w:rsidRPr="00357DC2">
        <w:rPr>
          <w:lang w:val="fr-FR"/>
        </w:rPr>
        <w:t>’</w:t>
      </w:r>
      <w:r w:rsidR="000256C9" w:rsidRPr="00357DC2">
        <w:rPr>
          <w:lang w:val="fr-FR"/>
        </w:rPr>
        <w:t>était</w:t>
      </w:r>
      <w:r w:rsidRPr="00357DC2">
        <w:rPr>
          <w:lang w:val="fr-FR"/>
        </w:rPr>
        <w:t xml:space="preserve"> pas en mesure de prévoir </w:t>
      </w:r>
      <w:r w:rsidR="003A034C" w:rsidRPr="00357DC2">
        <w:rPr>
          <w:lang w:val="fr-FR"/>
        </w:rPr>
        <w:t xml:space="preserve">la requalification des faits qui lui étaient reprochés en </w:t>
      </w:r>
      <w:r w:rsidR="00241A9B" w:rsidRPr="00357DC2">
        <w:rPr>
          <w:lang w:val="fr-FR"/>
        </w:rPr>
        <w:t>corruption dans des actes judiciaires.</w:t>
      </w:r>
    </w:p>
    <w:p w:rsidR="00126034" w:rsidRPr="00357DC2" w:rsidRDefault="00126034"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70</w:t>
      </w:r>
      <w:r w:rsidRPr="00357DC2">
        <w:rPr>
          <w:lang w:val="fr-FR"/>
        </w:rPr>
        <w:fldChar w:fldCharType="end"/>
      </w:r>
      <w:r w:rsidRPr="00357DC2">
        <w:rPr>
          <w:lang w:val="fr-FR"/>
        </w:rPr>
        <w:t>.  </w:t>
      </w:r>
      <w:r w:rsidR="00CB328A" w:rsidRPr="00357DC2">
        <w:rPr>
          <w:rFonts w:cstheme="minorHAnsi"/>
          <w:lang w:val="fr-FR"/>
        </w:rPr>
        <w:t>À</w:t>
      </w:r>
      <w:r w:rsidR="003A034C" w:rsidRPr="00357DC2">
        <w:rPr>
          <w:lang w:val="fr-FR"/>
        </w:rPr>
        <w:t xml:space="preserve"> cet égard, q</w:t>
      </w:r>
      <w:r w:rsidRPr="00357DC2">
        <w:rPr>
          <w:lang w:val="fr-FR"/>
        </w:rPr>
        <w:t>uant à l</w:t>
      </w:r>
      <w:r w:rsidR="00357DC2" w:rsidRPr="00357DC2">
        <w:rPr>
          <w:lang w:val="fr-FR"/>
        </w:rPr>
        <w:t>’</w:t>
      </w:r>
      <w:r w:rsidRPr="00357DC2">
        <w:rPr>
          <w:lang w:val="fr-FR"/>
        </w:rPr>
        <w:t xml:space="preserve">argument </w:t>
      </w:r>
      <w:r w:rsidR="003A034C" w:rsidRPr="00357DC2">
        <w:rPr>
          <w:lang w:val="fr-FR"/>
        </w:rPr>
        <w:t xml:space="preserve">du requérant </w:t>
      </w:r>
      <w:r w:rsidRPr="00357DC2">
        <w:rPr>
          <w:lang w:val="fr-FR"/>
        </w:rPr>
        <w:t xml:space="preserve">selon lequel </w:t>
      </w:r>
      <w:r w:rsidR="00F53C6B" w:rsidRPr="00357DC2">
        <w:rPr>
          <w:lang w:val="fr-FR"/>
        </w:rPr>
        <w:t xml:space="preserve">seule une </w:t>
      </w:r>
      <w:r w:rsidR="00796867" w:rsidRPr="00357DC2">
        <w:rPr>
          <w:lang w:val="fr-FR"/>
        </w:rPr>
        <w:t>notification</w:t>
      </w:r>
      <w:r w:rsidR="00F53C6B" w:rsidRPr="00357DC2">
        <w:rPr>
          <w:lang w:val="fr-FR"/>
        </w:rPr>
        <w:t xml:space="preserve"> formelle de l</w:t>
      </w:r>
      <w:r w:rsidR="00357DC2" w:rsidRPr="00357DC2">
        <w:rPr>
          <w:lang w:val="fr-FR"/>
        </w:rPr>
        <w:t>’</w:t>
      </w:r>
      <w:r w:rsidR="00F53C6B" w:rsidRPr="00357DC2">
        <w:rPr>
          <w:lang w:val="fr-FR"/>
        </w:rPr>
        <w:t xml:space="preserve">accusation </w:t>
      </w:r>
      <w:r w:rsidR="00521880" w:rsidRPr="00357DC2">
        <w:rPr>
          <w:lang w:val="fr-FR"/>
        </w:rPr>
        <w:t>retenue contre lui</w:t>
      </w:r>
      <w:r w:rsidR="00F53C6B" w:rsidRPr="00357DC2">
        <w:rPr>
          <w:lang w:val="fr-FR"/>
        </w:rPr>
        <w:t xml:space="preserve"> aurait été conforme à la Convention</w:t>
      </w:r>
      <w:r w:rsidR="004A0A32" w:rsidRPr="00357DC2">
        <w:rPr>
          <w:lang w:val="fr-FR"/>
        </w:rPr>
        <w:t xml:space="preserve">, </w:t>
      </w:r>
      <w:r w:rsidRPr="00357DC2">
        <w:rPr>
          <w:lang w:val="fr-FR"/>
        </w:rPr>
        <w:t xml:space="preserve">la Cour rappelle </w:t>
      </w:r>
      <w:r w:rsidR="000B0E7D" w:rsidRPr="00357DC2">
        <w:rPr>
          <w:lang w:val="fr-FR"/>
        </w:rPr>
        <w:t xml:space="preserve">une fois </w:t>
      </w:r>
      <w:r w:rsidR="002C79E1" w:rsidRPr="00357DC2">
        <w:rPr>
          <w:lang w:val="fr-FR"/>
        </w:rPr>
        <w:t xml:space="preserve">encore </w:t>
      </w:r>
      <w:r w:rsidRPr="00357DC2">
        <w:rPr>
          <w:lang w:val="fr-FR"/>
        </w:rPr>
        <w:t>que les dispositions de l</w:t>
      </w:r>
      <w:r w:rsidR="00357DC2" w:rsidRPr="00357DC2">
        <w:rPr>
          <w:lang w:val="fr-FR"/>
        </w:rPr>
        <w:t>’</w:t>
      </w:r>
      <w:r w:rsidRPr="00357DC2">
        <w:rPr>
          <w:lang w:val="fr-FR"/>
        </w:rPr>
        <w:t>article 6 § 3 a) n</w:t>
      </w:r>
      <w:r w:rsidR="00357DC2" w:rsidRPr="00357DC2">
        <w:rPr>
          <w:lang w:val="fr-FR"/>
        </w:rPr>
        <w:t>’</w:t>
      </w:r>
      <w:r w:rsidRPr="00357DC2">
        <w:rPr>
          <w:lang w:val="fr-FR"/>
        </w:rPr>
        <w:t>imposent aucune forme particulière quant à la manière dont l</w:t>
      </w:r>
      <w:r w:rsidR="00357DC2" w:rsidRPr="00357DC2">
        <w:rPr>
          <w:lang w:val="fr-FR"/>
        </w:rPr>
        <w:t>’</w:t>
      </w:r>
      <w:r w:rsidRPr="00357DC2">
        <w:rPr>
          <w:lang w:val="fr-FR"/>
        </w:rPr>
        <w:t>accusé doit être informé de la nature et de la cause de l</w:t>
      </w:r>
      <w:r w:rsidR="00357DC2" w:rsidRPr="00357DC2">
        <w:rPr>
          <w:lang w:val="fr-FR"/>
        </w:rPr>
        <w:t>’</w:t>
      </w:r>
      <w:r w:rsidRPr="00357DC2">
        <w:rPr>
          <w:lang w:val="fr-FR"/>
        </w:rPr>
        <w:t xml:space="preserve">accusation portée contre lui. Ainsi, ce qui </w:t>
      </w:r>
      <w:r w:rsidR="00CB328A" w:rsidRPr="00357DC2">
        <w:rPr>
          <w:lang w:val="fr-FR"/>
        </w:rPr>
        <w:t xml:space="preserve">importe </w:t>
      </w:r>
      <w:r w:rsidRPr="00357DC2">
        <w:rPr>
          <w:lang w:val="fr-FR"/>
        </w:rPr>
        <w:t xml:space="preserve">est </w:t>
      </w:r>
      <w:r w:rsidR="00892357" w:rsidRPr="00357DC2">
        <w:rPr>
          <w:lang w:val="fr-FR"/>
        </w:rPr>
        <w:t xml:space="preserve">de savoir </w:t>
      </w:r>
      <w:r w:rsidR="00AB53F1" w:rsidRPr="00357DC2">
        <w:rPr>
          <w:lang w:val="fr-FR"/>
        </w:rPr>
        <w:t>si</w:t>
      </w:r>
      <w:r w:rsidRPr="00357DC2">
        <w:rPr>
          <w:lang w:val="fr-FR"/>
        </w:rPr>
        <w:t>, malgré l</w:t>
      </w:r>
      <w:r w:rsidR="00357DC2" w:rsidRPr="00357DC2">
        <w:rPr>
          <w:lang w:val="fr-FR"/>
        </w:rPr>
        <w:t>’</w:t>
      </w:r>
      <w:r w:rsidRPr="00357DC2">
        <w:rPr>
          <w:lang w:val="fr-FR"/>
        </w:rPr>
        <w:t>absence d</w:t>
      </w:r>
      <w:r w:rsidR="00357DC2" w:rsidRPr="00357DC2">
        <w:rPr>
          <w:lang w:val="fr-FR"/>
        </w:rPr>
        <w:t>’</w:t>
      </w:r>
      <w:r w:rsidRPr="00357DC2">
        <w:rPr>
          <w:lang w:val="fr-FR"/>
        </w:rPr>
        <w:t>une notification formelle des charges de corruption dans des actes judiciaires, le requérant a été informé</w:t>
      </w:r>
      <w:r w:rsidR="00892357" w:rsidRPr="00357DC2">
        <w:rPr>
          <w:lang w:val="fr-FR"/>
        </w:rPr>
        <w:t xml:space="preserve"> </w:t>
      </w:r>
      <w:r w:rsidR="0056662C" w:rsidRPr="00357DC2">
        <w:rPr>
          <w:lang w:val="fr-FR"/>
        </w:rPr>
        <w:t xml:space="preserve">de manière </w:t>
      </w:r>
      <w:r w:rsidR="00892357" w:rsidRPr="00357DC2">
        <w:rPr>
          <w:lang w:val="fr-FR"/>
        </w:rPr>
        <w:t>adéquate et</w:t>
      </w:r>
      <w:r w:rsidRPr="00357DC2">
        <w:rPr>
          <w:lang w:val="fr-FR"/>
        </w:rPr>
        <w:t xml:space="preserve"> en temps utile</w:t>
      </w:r>
      <w:r w:rsidR="00663AC7" w:rsidRPr="00357DC2">
        <w:rPr>
          <w:lang w:val="fr-FR"/>
        </w:rPr>
        <w:t xml:space="preserve"> pour </w:t>
      </w:r>
      <w:r w:rsidR="00CB328A" w:rsidRPr="00357DC2">
        <w:rPr>
          <w:lang w:val="fr-FR"/>
        </w:rPr>
        <w:t xml:space="preserve">lui permettre de </w:t>
      </w:r>
      <w:r w:rsidR="00663AC7" w:rsidRPr="00357DC2">
        <w:rPr>
          <w:lang w:val="fr-FR"/>
        </w:rPr>
        <w:t>préparer sa défense.</w:t>
      </w:r>
    </w:p>
    <w:p w:rsidR="006E102F" w:rsidRPr="00357DC2" w:rsidRDefault="00663AC7"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71</w:t>
      </w:r>
      <w:r w:rsidRPr="00357DC2">
        <w:rPr>
          <w:lang w:val="fr-FR"/>
        </w:rPr>
        <w:fldChar w:fldCharType="end"/>
      </w:r>
      <w:r w:rsidRPr="00357DC2">
        <w:rPr>
          <w:lang w:val="fr-FR"/>
        </w:rPr>
        <w:t>.  </w:t>
      </w:r>
      <w:r w:rsidR="00F86CF3" w:rsidRPr="00357DC2">
        <w:rPr>
          <w:lang w:val="fr-FR"/>
        </w:rPr>
        <w:t>La C</w:t>
      </w:r>
      <w:r w:rsidR="00A038AE" w:rsidRPr="00357DC2">
        <w:rPr>
          <w:lang w:val="fr-FR"/>
        </w:rPr>
        <w:t xml:space="preserve">our doit </w:t>
      </w:r>
      <w:r w:rsidR="00A464AF" w:rsidRPr="00357DC2">
        <w:rPr>
          <w:lang w:val="fr-FR"/>
        </w:rPr>
        <w:t>dès lors</w:t>
      </w:r>
      <w:r w:rsidR="00A038AE" w:rsidRPr="00357DC2">
        <w:rPr>
          <w:lang w:val="fr-FR"/>
        </w:rPr>
        <w:t xml:space="preserve"> rechercher si le requérant a eu une chance</w:t>
      </w:r>
      <w:r w:rsidR="00F86CF3" w:rsidRPr="00357DC2">
        <w:rPr>
          <w:lang w:val="fr-FR"/>
        </w:rPr>
        <w:t xml:space="preserve"> de préparer </w:t>
      </w:r>
      <w:r w:rsidR="00355310" w:rsidRPr="00357DC2">
        <w:rPr>
          <w:lang w:val="fr-FR"/>
        </w:rPr>
        <w:t xml:space="preserve">adéquatement </w:t>
      </w:r>
      <w:r w:rsidR="00F86CF3" w:rsidRPr="00357DC2">
        <w:rPr>
          <w:lang w:val="fr-FR"/>
        </w:rPr>
        <w:t>sa défense et</w:t>
      </w:r>
      <w:r w:rsidR="00A038AE" w:rsidRPr="00357DC2">
        <w:rPr>
          <w:lang w:val="fr-FR"/>
        </w:rPr>
        <w:t xml:space="preserve"> de débattre contradictoirement de l</w:t>
      </w:r>
      <w:r w:rsidR="00357DC2" w:rsidRPr="00357DC2">
        <w:rPr>
          <w:lang w:val="fr-FR"/>
        </w:rPr>
        <w:t>’</w:t>
      </w:r>
      <w:r w:rsidR="00A038AE" w:rsidRPr="00357DC2">
        <w:rPr>
          <w:lang w:val="fr-FR"/>
        </w:rPr>
        <w:t xml:space="preserve">accusation </w:t>
      </w:r>
      <w:r w:rsidR="008009A3" w:rsidRPr="00357DC2">
        <w:rPr>
          <w:lang w:val="fr-FR"/>
        </w:rPr>
        <w:t xml:space="preserve">finalement </w:t>
      </w:r>
      <w:r w:rsidR="00A038AE" w:rsidRPr="00357DC2">
        <w:rPr>
          <w:lang w:val="fr-FR"/>
        </w:rPr>
        <w:t xml:space="preserve">retenue </w:t>
      </w:r>
      <w:r w:rsidR="002C79E1" w:rsidRPr="00357DC2">
        <w:rPr>
          <w:lang w:val="fr-FR"/>
        </w:rPr>
        <w:t>contre lui</w:t>
      </w:r>
      <w:r w:rsidR="00A038AE" w:rsidRPr="00357DC2">
        <w:rPr>
          <w:lang w:val="fr-FR"/>
        </w:rPr>
        <w:t xml:space="preserve">. </w:t>
      </w:r>
      <w:r w:rsidR="00355310" w:rsidRPr="00357DC2">
        <w:rPr>
          <w:lang w:val="fr-FR"/>
        </w:rPr>
        <w:t>Elle observe à cet égard que</w:t>
      </w:r>
      <w:r w:rsidR="00CB328A" w:rsidRPr="00357DC2">
        <w:rPr>
          <w:lang w:val="fr-FR"/>
        </w:rPr>
        <w:t>,</w:t>
      </w:r>
      <w:r w:rsidR="00355310" w:rsidRPr="00357DC2">
        <w:rPr>
          <w:lang w:val="fr-FR"/>
        </w:rPr>
        <w:t xml:space="preserve"> pendant les cinq mois qui ont suivi la révocation</w:t>
      </w:r>
      <w:r w:rsidR="009A16E2" w:rsidRPr="00357DC2">
        <w:rPr>
          <w:lang w:val="fr-FR"/>
        </w:rPr>
        <w:t xml:space="preserve"> partielle</w:t>
      </w:r>
      <w:r w:rsidR="00355310" w:rsidRPr="00357DC2">
        <w:rPr>
          <w:lang w:val="fr-FR"/>
        </w:rPr>
        <w:t xml:space="preserve"> de la condamnation et la réouverture </w:t>
      </w:r>
      <w:r w:rsidR="009A16E2" w:rsidRPr="00357DC2">
        <w:rPr>
          <w:lang w:val="fr-FR"/>
        </w:rPr>
        <w:t>du procès</w:t>
      </w:r>
      <w:r w:rsidR="00355310" w:rsidRPr="00357DC2">
        <w:rPr>
          <w:lang w:val="fr-FR"/>
        </w:rPr>
        <w:t xml:space="preserve">, </w:t>
      </w:r>
      <w:r w:rsidR="008009A3" w:rsidRPr="00357DC2">
        <w:rPr>
          <w:lang w:val="fr-FR"/>
        </w:rPr>
        <w:t>l</w:t>
      </w:r>
      <w:r w:rsidR="00357DC2" w:rsidRPr="00357DC2">
        <w:rPr>
          <w:lang w:val="fr-FR"/>
        </w:rPr>
        <w:t>’</w:t>
      </w:r>
      <w:r w:rsidR="008009A3" w:rsidRPr="00357DC2">
        <w:rPr>
          <w:lang w:val="fr-FR"/>
        </w:rPr>
        <w:t>intéressé</w:t>
      </w:r>
      <w:r w:rsidR="009A16E2" w:rsidRPr="00357DC2">
        <w:rPr>
          <w:lang w:val="fr-FR"/>
        </w:rPr>
        <w:t xml:space="preserve"> a </w:t>
      </w:r>
      <w:r w:rsidR="000B3DFF" w:rsidRPr="00357DC2">
        <w:rPr>
          <w:lang w:val="fr-FR"/>
        </w:rPr>
        <w:t>pu déposer</w:t>
      </w:r>
      <w:r w:rsidR="009A16E2" w:rsidRPr="00357DC2">
        <w:rPr>
          <w:lang w:val="fr-FR"/>
        </w:rPr>
        <w:t xml:space="preserve"> devant la Cour de cassation</w:t>
      </w:r>
      <w:r w:rsidR="006B4FB5" w:rsidRPr="00357DC2">
        <w:rPr>
          <w:lang w:val="fr-FR"/>
        </w:rPr>
        <w:t xml:space="preserve"> </w:t>
      </w:r>
      <w:r w:rsidR="00355310" w:rsidRPr="00357DC2">
        <w:rPr>
          <w:lang w:val="fr-FR"/>
        </w:rPr>
        <w:t>deux mémoires</w:t>
      </w:r>
      <w:r w:rsidR="00BE349A" w:rsidRPr="00357DC2">
        <w:rPr>
          <w:lang w:val="fr-FR"/>
        </w:rPr>
        <w:t xml:space="preserve"> </w:t>
      </w:r>
      <w:r w:rsidR="00355310" w:rsidRPr="00357DC2">
        <w:rPr>
          <w:lang w:val="fr-FR"/>
        </w:rPr>
        <w:t>écrits</w:t>
      </w:r>
      <w:r w:rsidR="000E2057" w:rsidRPr="00357DC2">
        <w:rPr>
          <w:lang w:val="fr-FR"/>
        </w:rPr>
        <w:t>. En outre, l</w:t>
      </w:r>
      <w:r w:rsidR="00357DC2" w:rsidRPr="00357DC2">
        <w:rPr>
          <w:lang w:val="fr-FR"/>
        </w:rPr>
        <w:t>’</w:t>
      </w:r>
      <w:r w:rsidR="000E2057" w:rsidRPr="00357DC2">
        <w:rPr>
          <w:lang w:val="fr-FR"/>
        </w:rPr>
        <w:t xml:space="preserve">avocat du requérant </w:t>
      </w:r>
      <w:r w:rsidR="00ED3C3E" w:rsidRPr="00357DC2">
        <w:rPr>
          <w:lang w:val="fr-FR"/>
        </w:rPr>
        <w:t>a discut</w:t>
      </w:r>
      <w:r w:rsidR="000B3DFF" w:rsidRPr="00357DC2">
        <w:rPr>
          <w:lang w:val="fr-FR"/>
        </w:rPr>
        <w:t>é</w:t>
      </w:r>
      <w:r w:rsidR="00BE349A" w:rsidRPr="00357DC2">
        <w:rPr>
          <w:lang w:val="fr-FR"/>
        </w:rPr>
        <w:t xml:space="preserve"> oralement </w:t>
      </w:r>
      <w:r w:rsidR="000B3DFF" w:rsidRPr="00357DC2">
        <w:rPr>
          <w:lang w:val="fr-FR"/>
        </w:rPr>
        <w:t xml:space="preserve">de </w:t>
      </w:r>
      <w:r w:rsidR="00BE349A" w:rsidRPr="00357DC2">
        <w:rPr>
          <w:lang w:val="fr-FR"/>
        </w:rPr>
        <w:t>l</w:t>
      </w:r>
      <w:r w:rsidR="00357DC2" w:rsidRPr="00357DC2">
        <w:rPr>
          <w:lang w:val="fr-FR"/>
        </w:rPr>
        <w:t>’</w:t>
      </w:r>
      <w:r w:rsidR="00BE349A" w:rsidRPr="00357DC2">
        <w:rPr>
          <w:lang w:val="fr-FR"/>
        </w:rPr>
        <w:t>affaire</w:t>
      </w:r>
      <w:r w:rsidR="000E2057" w:rsidRPr="00357DC2">
        <w:rPr>
          <w:lang w:val="fr-FR"/>
        </w:rPr>
        <w:t xml:space="preserve"> lors de l</w:t>
      </w:r>
      <w:r w:rsidR="00357DC2" w:rsidRPr="00357DC2">
        <w:rPr>
          <w:lang w:val="fr-FR"/>
        </w:rPr>
        <w:t>’</w:t>
      </w:r>
      <w:r w:rsidR="000E2057" w:rsidRPr="00357DC2">
        <w:rPr>
          <w:lang w:val="fr-FR"/>
        </w:rPr>
        <w:t>audience du 25 mai 2009.</w:t>
      </w:r>
    </w:p>
    <w:p w:rsidR="00AF296D" w:rsidRPr="00357DC2" w:rsidRDefault="00AF296D"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72</w:t>
      </w:r>
      <w:r w:rsidRPr="00357DC2">
        <w:rPr>
          <w:lang w:val="fr-FR"/>
        </w:rPr>
        <w:fldChar w:fldCharType="end"/>
      </w:r>
      <w:r w:rsidRPr="00357DC2">
        <w:rPr>
          <w:lang w:val="fr-FR"/>
        </w:rPr>
        <w:t>.  </w:t>
      </w:r>
      <w:r w:rsidR="00142EF1" w:rsidRPr="00357DC2">
        <w:rPr>
          <w:lang w:val="fr-FR"/>
        </w:rPr>
        <w:t xml:space="preserve">En outre, </w:t>
      </w:r>
      <w:r w:rsidRPr="00357DC2">
        <w:rPr>
          <w:lang w:val="fr-FR"/>
        </w:rPr>
        <w:t>le requérant n</w:t>
      </w:r>
      <w:r w:rsidR="00357DC2" w:rsidRPr="00357DC2">
        <w:rPr>
          <w:lang w:val="fr-FR"/>
        </w:rPr>
        <w:t>’</w:t>
      </w:r>
      <w:r w:rsidRPr="00357DC2">
        <w:rPr>
          <w:lang w:val="fr-FR"/>
        </w:rPr>
        <w:t xml:space="preserve">a </w:t>
      </w:r>
      <w:r w:rsidR="007467EE" w:rsidRPr="00357DC2">
        <w:rPr>
          <w:lang w:val="fr-FR"/>
        </w:rPr>
        <w:t>pas</w:t>
      </w:r>
      <w:r w:rsidRPr="00357DC2">
        <w:rPr>
          <w:lang w:val="fr-FR"/>
        </w:rPr>
        <w:t xml:space="preserve"> </w:t>
      </w:r>
      <w:r w:rsidR="00142EF1" w:rsidRPr="00357DC2">
        <w:rPr>
          <w:lang w:val="fr-FR"/>
        </w:rPr>
        <w:t xml:space="preserve">démontré </w:t>
      </w:r>
      <w:r w:rsidRPr="00357DC2">
        <w:rPr>
          <w:lang w:val="fr-FR"/>
        </w:rPr>
        <w:t>avoir présenté des arguments qui n</w:t>
      </w:r>
      <w:r w:rsidR="00357DC2" w:rsidRPr="00357DC2">
        <w:rPr>
          <w:lang w:val="fr-FR"/>
        </w:rPr>
        <w:t>’</w:t>
      </w:r>
      <w:r w:rsidR="00CB328A" w:rsidRPr="00357DC2">
        <w:rPr>
          <w:lang w:val="fr-FR"/>
        </w:rPr>
        <w:t>auraient</w:t>
      </w:r>
      <w:r w:rsidRPr="00357DC2">
        <w:rPr>
          <w:lang w:val="fr-FR"/>
        </w:rPr>
        <w:t xml:space="preserve"> pas été pris en considération par la Cour de cassation</w:t>
      </w:r>
      <w:r w:rsidR="007467EE" w:rsidRPr="00357DC2">
        <w:rPr>
          <w:lang w:val="fr-FR"/>
        </w:rPr>
        <w:t xml:space="preserve">, </w:t>
      </w:r>
      <w:r w:rsidR="00142EF1" w:rsidRPr="00357DC2">
        <w:rPr>
          <w:lang w:val="fr-FR"/>
        </w:rPr>
        <w:t xml:space="preserve">ou </w:t>
      </w:r>
      <w:r w:rsidRPr="00357DC2">
        <w:rPr>
          <w:lang w:val="fr-FR"/>
        </w:rPr>
        <w:t xml:space="preserve">que celle-ci </w:t>
      </w:r>
      <w:r w:rsidR="004C5D17" w:rsidRPr="00357DC2">
        <w:rPr>
          <w:lang w:val="fr-FR"/>
        </w:rPr>
        <w:t>s</w:t>
      </w:r>
      <w:r w:rsidR="00357DC2" w:rsidRPr="00357DC2">
        <w:rPr>
          <w:lang w:val="fr-FR"/>
        </w:rPr>
        <w:t>’</w:t>
      </w:r>
      <w:r w:rsidR="00CB328A" w:rsidRPr="00357DC2">
        <w:rPr>
          <w:lang w:val="fr-FR"/>
        </w:rPr>
        <w:t>était</w:t>
      </w:r>
      <w:r w:rsidRPr="00357DC2">
        <w:rPr>
          <w:lang w:val="fr-FR"/>
        </w:rPr>
        <w:t xml:space="preserve"> fondée sur des éléments </w:t>
      </w:r>
      <w:r w:rsidR="000256C9" w:rsidRPr="00357DC2">
        <w:rPr>
          <w:lang w:val="fr-FR"/>
        </w:rPr>
        <w:t xml:space="preserve">de droit ou de fait </w:t>
      </w:r>
      <w:r w:rsidRPr="00357DC2">
        <w:rPr>
          <w:lang w:val="fr-FR"/>
        </w:rPr>
        <w:t>qui n</w:t>
      </w:r>
      <w:r w:rsidR="00357DC2" w:rsidRPr="00357DC2">
        <w:rPr>
          <w:lang w:val="fr-FR"/>
        </w:rPr>
        <w:t>’</w:t>
      </w:r>
      <w:r w:rsidR="00CB328A" w:rsidRPr="00357DC2">
        <w:rPr>
          <w:lang w:val="fr-FR"/>
        </w:rPr>
        <w:t>auraient</w:t>
      </w:r>
      <w:r w:rsidRPr="00357DC2">
        <w:rPr>
          <w:lang w:val="fr-FR"/>
        </w:rPr>
        <w:t xml:space="preserve"> pas été débattus pendant le procès.</w:t>
      </w:r>
    </w:p>
    <w:p w:rsidR="007A6B24" w:rsidRPr="00357DC2" w:rsidRDefault="0011199A"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73</w:t>
      </w:r>
      <w:r w:rsidRPr="00357DC2">
        <w:rPr>
          <w:lang w:val="fr-FR"/>
        </w:rPr>
        <w:fldChar w:fldCharType="end"/>
      </w:r>
      <w:r w:rsidRPr="00357DC2">
        <w:rPr>
          <w:lang w:val="fr-FR"/>
        </w:rPr>
        <w:t>.  </w:t>
      </w:r>
      <w:r w:rsidR="008628B6" w:rsidRPr="00357DC2">
        <w:rPr>
          <w:lang w:val="fr-FR"/>
        </w:rPr>
        <w:t>De plus</w:t>
      </w:r>
      <w:r w:rsidR="002D3518" w:rsidRPr="00357DC2">
        <w:rPr>
          <w:lang w:val="fr-FR"/>
        </w:rPr>
        <w:t>, quant à l</w:t>
      </w:r>
      <w:r w:rsidR="00357DC2" w:rsidRPr="00357DC2">
        <w:rPr>
          <w:lang w:val="fr-FR"/>
        </w:rPr>
        <w:t>’</w:t>
      </w:r>
      <w:r w:rsidR="002D3518" w:rsidRPr="00357DC2">
        <w:rPr>
          <w:lang w:val="fr-FR"/>
        </w:rPr>
        <w:t>argument du requérant selon lequel l</w:t>
      </w:r>
      <w:r w:rsidR="00264959" w:rsidRPr="00357DC2">
        <w:rPr>
          <w:lang w:val="fr-FR"/>
        </w:rPr>
        <w:t>e principe du contradictoire n</w:t>
      </w:r>
      <w:r w:rsidR="00357DC2" w:rsidRPr="00357DC2">
        <w:rPr>
          <w:lang w:val="fr-FR"/>
        </w:rPr>
        <w:t>’</w:t>
      </w:r>
      <w:r w:rsidR="00264959" w:rsidRPr="00357DC2">
        <w:rPr>
          <w:lang w:val="fr-FR"/>
        </w:rPr>
        <w:t>a pas été respecté au vu de l</w:t>
      </w:r>
      <w:r w:rsidR="00357DC2" w:rsidRPr="00357DC2">
        <w:rPr>
          <w:lang w:val="fr-FR"/>
        </w:rPr>
        <w:t>’</w:t>
      </w:r>
      <w:r w:rsidR="00264959" w:rsidRPr="00357DC2">
        <w:rPr>
          <w:lang w:val="fr-FR"/>
        </w:rPr>
        <w:t>impossibilité de</w:t>
      </w:r>
      <w:r w:rsidR="002D3518" w:rsidRPr="00357DC2">
        <w:rPr>
          <w:lang w:val="fr-FR"/>
        </w:rPr>
        <w:t xml:space="preserve"> </w:t>
      </w:r>
      <w:r w:rsidR="00264959" w:rsidRPr="00357DC2">
        <w:rPr>
          <w:lang w:val="fr-FR"/>
        </w:rPr>
        <w:t xml:space="preserve">débattre de questions de fait </w:t>
      </w:r>
      <w:r w:rsidR="008C2982" w:rsidRPr="00357DC2">
        <w:rPr>
          <w:lang w:val="fr-FR"/>
        </w:rPr>
        <w:t>devant la</w:t>
      </w:r>
      <w:r w:rsidR="002D3518" w:rsidRPr="00357DC2">
        <w:rPr>
          <w:lang w:val="fr-FR"/>
        </w:rPr>
        <w:t xml:space="preserve"> </w:t>
      </w:r>
      <w:r w:rsidR="00EE407D" w:rsidRPr="00357DC2">
        <w:rPr>
          <w:lang w:val="fr-FR"/>
        </w:rPr>
        <w:t xml:space="preserve">Cour de </w:t>
      </w:r>
      <w:r w:rsidR="002D3518" w:rsidRPr="00357DC2">
        <w:rPr>
          <w:lang w:val="fr-FR"/>
        </w:rPr>
        <w:t xml:space="preserve">cassation, la Cour </w:t>
      </w:r>
      <w:r w:rsidR="00864079" w:rsidRPr="00357DC2">
        <w:rPr>
          <w:lang w:val="fr-FR"/>
        </w:rPr>
        <w:t>relève</w:t>
      </w:r>
      <w:r w:rsidR="002D3518" w:rsidRPr="00357DC2">
        <w:rPr>
          <w:lang w:val="fr-FR"/>
        </w:rPr>
        <w:t xml:space="preserve"> </w:t>
      </w:r>
      <w:r w:rsidR="008C2982" w:rsidRPr="00357DC2">
        <w:rPr>
          <w:lang w:val="fr-FR"/>
        </w:rPr>
        <w:t xml:space="preserve">avec le Gouvernement </w:t>
      </w:r>
      <w:r w:rsidR="002D3518" w:rsidRPr="00357DC2">
        <w:rPr>
          <w:lang w:val="fr-FR"/>
        </w:rPr>
        <w:t xml:space="preserve">que </w:t>
      </w:r>
      <w:r w:rsidR="004C5D17" w:rsidRPr="00357DC2">
        <w:rPr>
          <w:lang w:val="fr-FR"/>
        </w:rPr>
        <w:t xml:space="preserve">le </w:t>
      </w:r>
      <w:r w:rsidR="002D3518" w:rsidRPr="00357DC2">
        <w:rPr>
          <w:lang w:val="fr-FR"/>
        </w:rPr>
        <w:t>requérant n</w:t>
      </w:r>
      <w:r w:rsidR="00357DC2" w:rsidRPr="00357DC2">
        <w:rPr>
          <w:lang w:val="fr-FR"/>
        </w:rPr>
        <w:t>’</w:t>
      </w:r>
      <w:r w:rsidR="002D3518" w:rsidRPr="00357DC2">
        <w:rPr>
          <w:lang w:val="fr-FR"/>
        </w:rPr>
        <w:t xml:space="preserve">a à aucun moment contesté, </w:t>
      </w:r>
      <w:r w:rsidR="00EE407D" w:rsidRPr="00357DC2">
        <w:rPr>
          <w:lang w:val="fr-FR"/>
        </w:rPr>
        <w:t>fût-ce</w:t>
      </w:r>
      <w:r w:rsidR="002D3518" w:rsidRPr="00357DC2">
        <w:rPr>
          <w:lang w:val="fr-FR"/>
        </w:rPr>
        <w:t xml:space="preserve"> de manière accessoire, la </w:t>
      </w:r>
      <w:r w:rsidR="008C2982" w:rsidRPr="00357DC2">
        <w:rPr>
          <w:lang w:val="fr-FR"/>
        </w:rPr>
        <w:t>façon</w:t>
      </w:r>
      <w:r w:rsidR="002D3518" w:rsidRPr="00357DC2">
        <w:rPr>
          <w:lang w:val="fr-FR"/>
        </w:rPr>
        <w:t xml:space="preserve"> dont le tribunal et la cour d</w:t>
      </w:r>
      <w:r w:rsidR="00357DC2" w:rsidRPr="00357DC2">
        <w:rPr>
          <w:lang w:val="fr-FR"/>
        </w:rPr>
        <w:t>’</w:t>
      </w:r>
      <w:r w:rsidR="002D3518" w:rsidRPr="00357DC2">
        <w:rPr>
          <w:lang w:val="fr-FR"/>
        </w:rPr>
        <w:t>appel avaient établi les faits de l</w:t>
      </w:r>
      <w:r w:rsidR="00357DC2" w:rsidRPr="00357DC2">
        <w:rPr>
          <w:lang w:val="fr-FR"/>
        </w:rPr>
        <w:t>’</w:t>
      </w:r>
      <w:r w:rsidR="002D3518" w:rsidRPr="00357DC2">
        <w:rPr>
          <w:lang w:val="fr-FR"/>
        </w:rPr>
        <w:t xml:space="preserve">affaire. Il ne ressort pas non plus </w:t>
      </w:r>
      <w:r w:rsidR="00F539C1" w:rsidRPr="00357DC2">
        <w:rPr>
          <w:lang w:val="fr-FR"/>
        </w:rPr>
        <w:t xml:space="preserve">du dossier </w:t>
      </w:r>
      <w:r w:rsidR="00864079" w:rsidRPr="00357DC2">
        <w:rPr>
          <w:lang w:val="fr-FR"/>
        </w:rPr>
        <w:t>que la</w:t>
      </w:r>
      <w:r w:rsidR="002D3518" w:rsidRPr="00357DC2">
        <w:rPr>
          <w:lang w:val="fr-FR"/>
        </w:rPr>
        <w:t xml:space="preserve"> défense du requérant</w:t>
      </w:r>
      <w:r w:rsidR="00EE407D" w:rsidRPr="00357DC2">
        <w:rPr>
          <w:lang w:val="fr-FR"/>
        </w:rPr>
        <w:t xml:space="preserve"> ait</w:t>
      </w:r>
      <w:r w:rsidR="002D3518" w:rsidRPr="00357DC2">
        <w:rPr>
          <w:lang w:val="fr-FR"/>
        </w:rPr>
        <w:t xml:space="preserve"> demandé</w:t>
      </w:r>
      <w:r w:rsidR="009E0F11" w:rsidRPr="00357DC2">
        <w:rPr>
          <w:lang w:val="fr-FR"/>
        </w:rPr>
        <w:t xml:space="preserve"> à un moment ou à un autre</w:t>
      </w:r>
      <w:r w:rsidR="002D3518" w:rsidRPr="00357DC2">
        <w:rPr>
          <w:lang w:val="fr-FR"/>
        </w:rPr>
        <w:t xml:space="preserve"> </w:t>
      </w:r>
      <w:r w:rsidR="00F14A38" w:rsidRPr="00357DC2">
        <w:rPr>
          <w:lang w:val="fr-FR"/>
        </w:rPr>
        <w:t>la réouverture de l</w:t>
      </w:r>
      <w:r w:rsidR="00357DC2" w:rsidRPr="00357DC2">
        <w:rPr>
          <w:lang w:val="fr-FR"/>
        </w:rPr>
        <w:t>’</w:t>
      </w:r>
      <w:r w:rsidR="00F14A38" w:rsidRPr="00357DC2">
        <w:rPr>
          <w:lang w:val="fr-FR"/>
        </w:rPr>
        <w:t>instruction dans le but d</w:t>
      </w:r>
      <w:r w:rsidR="00357DC2" w:rsidRPr="00357DC2">
        <w:rPr>
          <w:lang w:val="fr-FR"/>
        </w:rPr>
        <w:t>’</w:t>
      </w:r>
      <w:r w:rsidR="00F14A38" w:rsidRPr="00357DC2">
        <w:rPr>
          <w:lang w:val="fr-FR"/>
        </w:rPr>
        <w:t xml:space="preserve">obtenir de </w:t>
      </w:r>
      <w:r w:rsidR="00864079" w:rsidRPr="00357DC2">
        <w:rPr>
          <w:lang w:val="fr-FR"/>
        </w:rPr>
        <w:t xml:space="preserve">nouvelles preuves </w:t>
      </w:r>
      <w:r w:rsidR="00F14A38" w:rsidRPr="00357DC2">
        <w:rPr>
          <w:lang w:val="fr-FR"/>
        </w:rPr>
        <w:t xml:space="preserve">à décharge. </w:t>
      </w:r>
      <w:r w:rsidR="009E0F11" w:rsidRPr="00357DC2">
        <w:rPr>
          <w:lang w:val="fr-FR"/>
        </w:rPr>
        <w:t>En revanche</w:t>
      </w:r>
      <w:r w:rsidR="00864079" w:rsidRPr="00357DC2">
        <w:rPr>
          <w:lang w:val="fr-FR"/>
        </w:rPr>
        <w:t xml:space="preserve">, </w:t>
      </w:r>
      <w:r w:rsidRPr="00357DC2">
        <w:rPr>
          <w:lang w:val="fr-FR"/>
        </w:rPr>
        <w:t xml:space="preserve">dans ses mémoires, </w:t>
      </w:r>
      <w:r w:rsidR="00864079" w:rsidRPr="00357DC2">
        <w:rPr>
          <w:lang w:val="fr-FR"/>
        </w:rPr>
        <w:t>le requérant s</w:t>
      </w:r>
      <w:r w:rsidR="00357DC2" w:rsidRPr="00357DC2">
        <w:rPr>
          <w:lang w:val="fr-FR"/>
        </w:rPr>
        <w:t>’</w:t>
      </w:r>
      <w:r w:rsidR="00864079" w:rsidRPr="00357DC2">
        <w:rPr>
          <w:lang w:val="fr-FR"/>
        </w:rPr>
        <w:t xml:space="preserve">est </w:t>
      </w:r>
      <w:r w:rsidR="00F14A38" w:rsidRPr="00357DC2">
        <w:rPr>
          <w:lang w:val="fr-FR"/>
        </w:rPr>
        <w:t xml:space="preserve">borné à demander </w:t>
      </w:r>
      <w:r w:rsidR="00711D33" w:rsidRPr="00357DC2">
        <w:rPr>
          <w:lang w:val="fr-FR"/>
        </w:rPr>
        <w:t xml:space="preserve">la </w:t>
      </w:r>
      <w:r w:rsidR="00711D33" w:rsidRPr="00357DC2">
        <w:rPr>
          <w:lang w:val="fr-FR"/>
        </w:rPr>
        <w:lastRenderedPageBreak/>
        <w:t>cassation</w:t>
      </w:r>
      <w:r w:rsidR="00F14A38" w:rsidRPr="00357DC2">
        <w:rPr>
          <w:lang w:val="fr-FR"/>
        </w:rPr>
        <w:t xml:space="preserve"> sans renvoi de sa condamnation en raison</w:t>
      </w:r>
      <w:r w:rsidR="00B236B1" w:rsidRPr="00357DC2">
        <w:rPr>
          <w:lang w:val="fr-FR"/>
        </w:rPr>
        <w:t>,</w:t>
      </w:r>
      <w:r w:rsidR="00F14A38" w:rsidRPr="00357DC2">
        <w:rPr>
          <w:lang w:val="fr-FR"/>
        </w:rPr>
        <w:t xml:space="preserve"> </w:t>
      </w:r>
      <w:r w:rsidR="00521880" w:rsidRPr="00357DC2">
        <w:rPr>
          <w:lang w:val="fr-FR"/>
        </w:rPr>
        <w:t>notamment</w:t>
      </w:r>
      <w:r w:rsidR="00B236B1" w:rsidRPr="00357DC2">
        <w:rPr>
          <w:lang w:val="fr-FR"/>
        </w:rPr>
        <w:t>,</w:t>
      </w:r>
      <w:r w:rsidR="00521880" w:rsidRPr="00357DC2">
        <w:rPr>
          <w:lang w:val="fr-FR"/>
        </w:rPr>
        <w:t xml:space="preserve"> </w:t>
      </w:r>
      <w:r w:rsidR="00F14A38" w:rsidRPr="00357DC2">
        <w:rPr>
          <w:lang w:val="fr-FR"/>
        </w:rPr>
        <w:t xml:space="preserve">de la prescription des faits </w:t>
      </w:r>
      <w:r w:rsidR="00ED3C3E" w:rsidRPr="00357DC2">
        <w:rPr>
          <w:lang w:val="fr-FR"/>
        </w:rPr>
        <w:t xml:space="preserve">qui lui étaient </w:t>
      </w:r>
      <w:r w:rsidR="00F14A38" w:rsidRPr="00357DC2">
        <w:rPr>
          <w:lang w:val="fr-FR"/>
        </w:rPr>
        <w:t xml:space="preserve">reprochés. </w:t>
      </w:r>
      <w:r w:rsidR="00754129" w:rsidRPr="00357DC2">
        <w:rPr>
          <w:lang w:val="fr-FR"/>
        </w:rPr>
        <w:t xml:space="preserve">Dans ces conditions, </w:t>
      </w:r>
      <w:r w:rsidR="00711D33" w:rsidRPr="00357DC2">
        <w:rPr>
          <w:lang w:val="fr-FR"/>
        </w:rPr>
        <w:t>compte tenu des questions à l</w:t>
      </w:r>
      <w:r w:rsidR="00357DC2" w:rsidRPr="00357DC2">
        <w:rPr>
          <w:lang w:val="fr-FR"/>
        </w:rPr>
        <w:t>’</w:t>
      </w:r>
      <w:r w:rsidR="00711D33" w:rsidRPr="00357DC2">
        <w:rPr>
          <w:lang w:val="fr-FR"/>
        </w:rPr>
        <w:t xml:space="preserve">examen de la cassation, </w:t>
      </w:r>
      <w:r w:rsidR="00754129" w:rsidRPr="00357DC2">
        <w:rPr>
          <w:lang w:val="fr-FR"/>
        </w:rPr>
        <w:t>la Cour ne voit pas pourquoi l</w:t>
      </w:r>
      <w:r w:rsidR="00357DC2" w:rsidRPr="00357DC2">
        <w:rPr>
          <w:lang w:val="fr-FR"/>
        </w:rPr>
        <w:t>’</w:t>
      </w:r>
      <w:r w:rsidR="00754129" w:rsidRPr="00357DC2">
        <w:rPr>
          <w:lang w:val="fr-FR"/>
        </w:rPr>
        <w:t>affaire aurait dû</w:t>
      </w:r>
      <w:r w:rsidR="00617170" w:rsidRPr="00357DC2">
        <w:rPr>
          <w:lang w:val="fr-FR"/>
        </w:rPr>
        <w:t xml:space="preserve"> </w:t>
      </w:r>
      <w:r w:rsidR="00754129" w:rsidRPr="00357DC2">
        <w:rPr>
          <w:lang w:val="fr-FR"/>
        </w:rPr>
        <w:t>être renvoyée d</w:t>
      </w:r>
      <w:r w:rsidR="00357DC2" w:rsidRPr="00357DC2">
        <w:rPr>
          <w:lang w:val="fr-FR"/>
        </w:rPr>
        <w:t>’</w:t>
      </w:r>
      <w:r w:rsidR="00754129" w:rsidRPr="00357DC2">
        <w:rPr>
          <w:lang w:val="fr-FR"/>
        </w:rPr>
        <w:t>office devant un juge de fond.</w:t>
      </w:r>
    </w:p>
    <w:p w:rsidR="000256C9" w:rsidRPr="00357DC2" w:rsidRDefault="008373D6" w:rsidP="00357DC2">
      <w:pPr>
        <w:pStyle w:val="ECHRPara"/>
        <w:rPr>
          <w:lang w:val="fr-FR"/>
        </w:rPr>
      </w:pPr>
      <w:r w:rsidRPr="00357DC2">
        <w:fldChar w:fldCharType="begin"/>
      </w:r>
      <w:r w:rsidRPr="00357DC2">
        <w:rPr>
          <w:lang w:val="fr-FR"/>
        </w:rPr>
        <w:instrText xml:space="preserve"> SEQ level0 \*arabic </w:instrText>
      </w:r>
      <w:r w:rsidRPr="00357DC2">
        <w:fldChar w:fldCharType="separate"/>
      </w:r>
      <w:r w:rsidR="00357DC2" w:rsidRPr="00357DC2">
        <w:rPr>
          <w:noProof/>
          <w:lang w:val="fr-FR"/>
        </w:rPr>
        <w:t>74</w:t>
      </w:r>
      <w:r w:rsidRPr="00357DC2">
        <w:fldChar w:fldCharType="end"/>
      </w:r>
      <w:r w:rsidRPr="00357DC2">
        <w:rPr>
          <w:lang w:val="fr-FR"/>
        </w:rPr>
        <w:t>.  </w:t>
      </w:r>
      <w:r w:rsidR="00EE407D" w:rsidRPr="00357DC2">
        <w:rPr>
          <w:lang w:val="fr-FR"/>
        </w:rPr>
        <w:t>Eu égard à</w:t>
      </w:r>
      <w:r w:rsidR="00976293" w:rsidRPr="00357DC2">
        <w:rPr>
          <w:lang w:val="fr-FR"/>
        </w:rPr>
        <w:t xml:space="preserve"> ce qu</w:t>
      </w:r>
      <w:r w:rsidR="00EE407D" w:rsidRPr="00357DC2">
        <w:rPr>
          <w:lang w:val="fr-FR"/>
        </w:rPr>
        <w:t>i</w:t>
      </w:r>
      <w:r w:rsidR="00976293" w:rsidRPr="00357DC2">
        <w:rPr>
          <w:lang w:val="fr-FR"/>
        </w:rPr>
        <w:t xml:space="preserve"> précède</w:t>
      </w:r>
      <w:r w:rsidRPr="00357DC2">
        <w:rPr>
          <w:lang w:val="fr-FR"/>
        </w:rPr>
        <w:t xml:space="preserve">, </w:t>
      </w:r>
      <w:r w:rsidR="00D374F4" w:rsidRPr="00357DC2">
        <w:rPr>
          <w:lang w:val="fr-FR"/>
        </w:rPr>
        <w:t>l</w:t>
      </w:r>
      <w:r w:rsidR="00F53C6B" w:rsidRPr="00357DC2">
        <w:rPr>
          <w:lang w:val="fr-FR"/>
        </w:rPr>
        <w:t>a Cour estime que les droits du requérant à être informé dans le détail de la nature et de la cause de l</w:t>
      </w:r>
      <w:r w:rsidR="00357DC2" w:rsidRPr="00357DC2">
        <w:rPr>
          <w:lang w:val="fr-FR"/>
        </w:rPr>
        <w:t>’</w:t>
      </w:r>
      <w:r w:rsidR="00F53C6B" w:rsidRPr="00357DC2">
        <w:rPr>
          <w:lang w:val="fr-FR"/>
        </w:rPr>
        <w:t>accusation dirigée contre lui et à disposer du temps et des facilités nécessaires à la préparation de sa défense n</w:t>
      </w:r>
      <w:r w:rsidR="00357DC2" w:rsidRPr="00357DC2">
        <w:rPr>
          <w:lang w:val="fr-FR"/>
        </w:rPr>
        <w:t>’</w:t>
      </w:r>
      <w:r w:rsidR="00F53C6B" w:rsidRPr="00357DC2">
        <w:rPr>
          <w:lang w:val="fr-FR"/>
        </w:rPr>
        <w:t>ont p</w:t>
      </w:r>
      <w:r w:rsidR="00B45623" w:rsidRPr="00357DC2">
        <w:rPr>
          <w:lang w:val="fr-FR"/>
        </w:rPr>
        <w:t>a</w:t>
      </w:r>
      <w:r w:rsidR="00F53C6B" w:rsidRPr="00357DC2">
        <w:rPr>
          <w:lang w:val="fr-FR"/>
        </w:rPr>
        <w:t>s été méconnus (</w:t>
      </w:r>
      <w:r w:rsidR="00EE407D" w:rsidRPr="00357DC2">
        <w:rPr>
          <w:lang w:val="fr-FR"/>
        </w:rPr>
        <w:t>voir</w:t>
      </w:r>
      <w:r w:rsidR="00A038AE" w:rsidRPr="00357DC2">
        <w:rPr>
          <w:lang w:val="fr-FR"/>
        </w:rPr>
        <w:t xml:space="preserve"> </w:t>
      </w:r>
      <w:r w:rsidR="00601F13" w:rsidRPr="00357DC2">
        <w:rPr>
          <w:i/>
          <w:lang w:val="fr-FR"/>
        </w:rPr>
        <w:t>Dallos c. </w:t>
      </w:r>
      <w:r w:rsidR="00A038AE" w:rsidRPr="00357DC2">
        <w:rPr>
          <w:i/>
          <w:lang w:val="fr-FR"/>
        </w:rPr>
        <w:t>Hongrie</w:t>
      </w:r>
      <w:r w:rsidR="00A038AE" w:rsidRPr="00357DC2">
        <w:rPr>
          <w:lang w:val="fr-FR"/>
        </w:rPr>
        <w:t>, n</w:t>
      </w:r>
      <w:r w:rsidR="007A6B24" w:rsidRPr="00357DC2">
        <w:rPr>
          <w:vertAlign w:val="superscript"/>
          <w:lang w:val="fr-FR"/>
        </w:rPr>
        <w:t>o</w:t>
      </w:r>
      <w:r w:rsidR="003A4BAE" w:rsidRPr="00357DC2">
        <w:rPr>
          <w:lang w:val="fr-FR"/>
        </w:rPr>
        <w:t> </w:t>
      </w:r>
      <w:r w:rsidR="00A038AE" w:rsidRPr="00357DC2">
        <w:rPr>
          <w:lang w:val="fr-FR"/>
        </w:rPr>
        <w:t xml:space="preserve">29082/95, § </w:t>
      </w:r>
      <w:r w:rsidR="00B45623" w:rsidRPr="00357DC2">
        <w:rPr>
          <w:lang w:val="fr-FR"/>
        </w:rPr>
        <w:t>52</w:t>
      </w:r>
      <w:r w:rsidR="00A038AE" w:rsidRPr="00357DC2">
        <w:rPr>
          <w:lang w:val="fr-FR"/>
        </w:rPr>
        <w:t>, CEDH 2001</w:t>
      </w:r>
      <w:r w:rsidR="00A038AE" w:rsidRPr="00357DC2">
        <w:rPr>
          <w:lang w:val="fr-FR"/>
        </w:rPr>
        <w:noBreakHyphen/>
        <w:t>II</w:t>
      </w:r>
      <w:r w:rsidR="00EE407D" w:rsidRPr="00357DC2">
        <w:rPr>
          <w:lang w:val="fr-FR"/>
        </w:rPr>
        <w:t>, et,</w:t>
      </w:r>
      <w:r w:rsidR="002D3518" w:rsidRPr="00357DC2">
        <w:rPr>
          <w:lang w:val="fr-FR"/>
        </w:rPr>
        <w:t xml:space="preserve"> </w:t>
      </w:r>
      <w:r w:rsidR="00B45623" w:rsidRPr="00357DC2">
        <w:rPr>
          <w:i/>
          <w:lang w:val="fr-FR"/>
        </w:rPr>
        <w:t>a</w:t>
      </w:r>
      <w:r w:rsidR="00210183" w:rsidRPr="00357DC2">
        <w:rPr>
          <w:i/>
          <w:lang w:val="fr-FR"/>
        </w:rPr>
        <w:t xml:space="preserve"> contrario</w:t>
      </w:r>
      <w:r w:rsidR="00210183" w:rsidRPr="00357DC2">
        <w:rPr>
          <w:lang w:val="fr-FR"/>
        </w:rPr>
        <w:t xml:space="preserve">, </w:t>
      </w:r>
      <w:r w:rsidR="00A56551" w:rsidRPr="00357DC2">
        <w:rPr>
          <w:i/>
          <w:lang w:val="fr-FR"/>
        </w:rPr>
        <w:t>D.M.T. et D.K.I. c.</w:t>
      </w:r>
      <w:r w:rsidR="00601F13" w:rsidRPr="00357DC2">
        <w:rPr>
          <w:i/>
          <w:lang w:val="fr-FR"/>
        </w:rPr>
        <w:t> </w:t>
      </w:r>
      <w:r w:rsidR="00A56551" w:rsidRPr="00357DC2">
        <w:rPr>
          <w:i/>
          <w:lang w:val="fr-FR"/>
        </w:rPr>
        <w:t>Bulgarie</w:t>
      </w:r>
      <w:r w:rsidR="00A56551" w:rsidRPr="00357DC2">
        <w:rPr>
          <w:lang w:val="fr-FR"/>
        </w:rPr>
        <w:t>, n</w:t>
      </w:r>
      <w:r w:rsidR="007A6B24" w:rsidRPr="00357DC2">
        <w:rPr>
          <w:vertAlign w:val="superscript"/>
          <w:lang w:val="fr-FR"/>
        </w:rPr>
        <w:t>o</w:t>
      </w:r>
      <w:r w:rsidR="00A56551" w:rsidRPr="00357DC2">
        <w:rPr>
          <w:lang w:val="fr-FR"/>
        </w:rPr>
        <w:t xml:space="preserve"> 29476/06, § </w:t>
      </w:r>
      <w:r w:rsidR="00D374F4" w:rsidRPr="00357DC2">
        <w:rPr>
          <w:lang w:val="fr-FR"/>
        </w:rPr>
        <w:t>84,</w:t>
      </w:r>
      <w:r w:rsidR="00A56551" w:rsidRPr="00357DC2">
        <w:rPr>
          <w:lang w:val="fr-FR"/>
        </w:rPr>
        <w:t xml:space="preserve"> 24 juillet 2012</w:t>
      </w:r>
      <w:r w:rsidR="00B45623" w:rsidRPr="00357DC2">
        <w:rPr>
          <w:lang w:val="fr-FR"/>
        </w:rPr>
        <w:t>).</w:t>
      </w:r>
    </w:p>
    <w:p w:rsidR="000256C9" w:rsidRPr="00357DC2" w:rsidRDefault="000256C9" w:rsidP="00357DC2">
      <w:pPr>
        <w:pStyle w:val="ECHRHeading4"/>
        <w:rPr>
          <w:snapToGrid w:val="0"/>
          <w:lang w:val="fr-FR"/>
        </w:rPr>
      </w:pPr>
      <w:r w:rsidRPr="00357DC2">
        <w:rPr>
          <w:snapToGrid w:val="0"/>
          <w:lang w:val="fr-FR"/>
        </w:rPr>
        <w:t>b</w:t>
      </w:r>
      <w:r w:rsidR="00DE63F8" w:rsidRPr="00357DC2">
        <w:rPr>
          <w:snapToGrid w:val="0"/>
          <w:lang w:val="fr-FR"/>
        </w:rPr>
        <w:t>)</w:t>
      </w:r>
      <w:r w:rsidRPr="00357DC2">
        <w:rPr>
          <w:snapToGrid w:val="0"/>
          <w:lang w:val="fr-FR"/>
        </w:rPr>
        <w:t xml:space="preserve">  Sur </w:t>
      </w:r>
      <w:r w:rsidR="00D374F4" w:rsidRPr="00357DC2">
        <w:rPr>
          <w:snapToGrid w:val="0"/>
          <w:lang w:val="fr-FR"/>
        </w:rPr>
        <w:t>l</w:t>
      </w:r>
      <w:r w:rsidR="00357DC2" w:rsidRPr="00357DC2">
        <w:rPr>
          <w:snapToGrid w:val="0"/>
          <w:lang w:val="fr-FR"/>
        </w:rPr>
        <w:t>’</w:t>
      </w:r>
      <w:r w:rsidR="00581CAB" w:rsidRPr="00357DC2">
        <w:rPr>
          <w:snapToGrid w:val="0"/>
          <w:lang w:val="fr-FR"/>
        </w:rPr>
        <w:t>impossibilité de comparaî</w:t>
      </w:r>
      <w:r w:rsidR="00D374F4" w:rsidRPr="00357DC2">
        <w:rPr>
          <w:snapToGrid w:val="0"/>
          <w:lang w:val="fr-FR"/>
        </w:rPr>
        <w:t>tre</w:t>
      </w:r>
      <w:r w:rsidRPr="00357DC2">
        <w:rPr>
          <w:snapToGrid w:val="0"/>
          <w:lang w:val="fr-FR"/>
        </w:rPr>
        <w:t xml:space="preserve"> </w:t>
      </w:r>
      <w:r w:rsidR="00B45623" w:rsidRPr="00357DC2">
        <w:rPr>
          <w:snapToGrid w:val="0"/>
          <w:lang w:val="fr-FR"/>
        </w:rPr>
        <w:t>devant la Cour de cassation</w:t>
      </w:r>
    </w:p>
    <w:p w:rsidR="000256C9" w:rsidRPr="00357DC2" w:rsidRDefault="000256C9"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75</w:t>
      </w:r>
      <w:r w:rsidRPr="00357DC2">
        <w:rPr>
          <w:lang w:val="fr-FR"/>
        </w:rPr>
        <w:fldChar w:fldCharType="end"/>
      </w:r>
      <w:r w:rsidRPr="00357DC2">
        <w:rPr>
          <w:lang w:val="fr-FR"/>
        </w:rPr>
        <w:t>.  La Cour rappelle que la comparution d</w:t>
      </w:r>
      <w:r w:rsidR="00357DC2" w:rsidRPr="00357DC2">
        <w:rPr>
          <w:lang w:val="fr-FR"/>
        </w:rPr>
        <w:t>’</w:t>
      </w:r>
      <w:r w:rsidRPr="00357DC2">
        <w:rPr>
          <w:lang w:val="fr-FR"/>
        </w:rPr>
        <w:t>un prévenu revêt une importance capitale dans l</w:t>
      </w:r>
      <w:r w:rsidR="00357DC2" w:rsidRPr="00357DC2">
        <w:rPr>
          <w:lang w:val="fr-FR"/>
        </w:rPr>
        <w:t>’</w:t>
      </w:r>
      <w:r w:rsidRPr="00357DC2">
        <w:rPr>
          <w:lang w:val="fr-FR"/>
        </w:rPr>
        <w:t>intérêt d</w:t>
      </w:r>
      <w:r w:rsidR="00357DC2" w:rsidRPr="00357DC2">
        <w:rPr>
          <w:lang w:val="fr-FR"/>
        </w:rPr>
        <w:t>’</w:t>
      </w:r>
      <w:r w:rsidRPr="00357DC2">
        <w:rPr>
          <w:lang w:val="fr-FR"/>
        </w:rPr>
        <w:t>un procès pénal équitable et juste. Toutefois, la manière dont l</w:t>
      </w:r>
      <w:r w:rsidR="00357DC2" w:rsidRPr="00357DC2">
        <w:rPr>
          <w:lang w:val="fr-FR"/>
        </w:rPr>
        <w:t>’</w:t>
      </w:r>
      <w:r w:rsidRPr="00357DC2">
        <w:rPr>
          <w:lang w:val="fr-FR"/>
        </w:rPr>
        <w:t>article 6 § 1 de la Convention s</w:t>
      </w:r>
      <w:r w:rsidR="00357DC2" w:rsidRPr="00357DC2">
        <w:rPr>
          <w:lang w:val="fr-FR"/>
        </w:rPr>
        <w:t>’</w:t>
      </w:r>
      <w:r w:rsidRPr="00357DC2">
        <w:rPr>
          <w:lang w:val="fr-FR"/>
        </w:rPr>
        <w:t>applique aux cours d</w:t>
      </w:r>
      <w:r w:rsidR="00357DC2" w:rsidRPr="00357DC2">
        <w:rPr>
          <w:lang w:val="fr-FR"/>
        </w:rPr>
        <w:t>’</w:t>
      </w:r>
      <w:r w:rsidRPr="00357DC2">
        <w:rPr>
          <w:lang w:val="fr-FR"/>
        </w:rPr>
        <w:t>appel ou de cassation dépend des particularités de la procédure en cause. Il faut prendre en compte l</w:t>
      </w:r>
      <w:r w:rsidR="00357DC2" w:rsidRPr="00357DC2">
        <w:rPr>
          <w:lang w:val="fr-FR"/>
        </w:rPr>
        <w:t>’</w:t>
      </w:r>
      <w:r w:rsidRPr="00357DC2">
        <w:rPr>
          <w:lang w:val="fr-FR"/>
        </w:rPr>
        <w:t>ensemble du procès mené dans l</w:t>
      </w:r>
      <w:r w:rsidR="00357DC2" w:rsidRPr="00357DC2">
        <w:rPr>
          <w:lang w:val="fr-FR"/>
        </w:rPr>
        <w:t>’</w:t>
      </w:r>
      <w:r w:rsidRPr="00357DC2">
        <w:rPr>
          <w:lang w:val="fr-FR"/>
        </w:rPr>
        <w:t>ordre juridique interne et le rôle qu</w:t>
      </w:r>
      <w:r w:rsidR="00357DC2" w:rsidRPr="00357DC2">
        <w:rPr>
          <w:lang w:val="fr-FR"/>
        </w:rPr>
        <w:t>’</w:t>
      </w:r>
      <w:r w:rsidRPr="00357DC2">
        <w:rPr>
          <w:lang w:val="fr-FR"/>
        </w:rPr>
        <w:t>y a joué la Cour de cassation. Ainsi, une procédure ne comportant que des points de droit et non de fait peut satisfaire aux exigences de l</w:t>
      </w:r>
      <w:r w:rsidR="00357DC2" w:rsidRPr="00357DC2">
        <w:rPr>
          <w:lang w:val="fr-FR"/>
        </w:rPr>
        <w:t>’</w:t>
      </w:r>
      <w:r w:rsidRPr="00357DC2">
        <w:rPr>
          <w:lang w:val="fr-FR"/>
        </w:rPr>
        <w:t>article 6, même si l</w:t>
      </w:r>
      <w:r w:rsidR="00357DC2" w:rsidRPr="00357DC2">
        <w:rPr>
          <w:lang w:val="fr-FR"/>
        </w:rPr>
        <w:t>’</w:t>
      </w:r>
      <w:r w:rsidRPr="00357DC2">
        <w:rPr>
          <w:lang w:val="fr-FR"/>
        </w:rPr>
        <w:t>appelant ne s</w:t>
      </w:r>
      <w:r w:rsidR="00357DC2" w:rsidRPr="00357DC2">
        <w:rPr>
          <w:lang w:val="fr-FR"/>
        </w:rPr>
        <w:t>’</w:t>
      </w:r>
      <w:r w:rsidRPr="00357DC2">
        <w:rPr>
          <w:lang w:val="fr-FR"/>
        </w:rPr>
        <w:t>est pas vu offrir la possibilité de comparaître devant la cour d</w:t>
      </w:r>
      <w:r w:rsidR="00357DC2" w:rsidRPr="00357DC2">
        <w:rPr>
          <w:lang w:val="fr-FR"/>
        </w:rPr>
        <w:t>’</w:t>
      </w:r>
      <w:r w:rsidRPr="00357DC2">
        <w:rPr>
          <w:lang w:val="fr-FR"/>
        </w:rPr>
        <w:t xml:space="preserve">appel ou </w:t>
      </w:r>
      <w:r w:rsidR="00E921B0" w:rsidRPr="00357DC2">
        <w:rPr>
          <w:lang w:val="fr-FR"/>
        </w:rPr>
        <w:t xml:space="preserve">la Cour </w:t>
      </w:r>
      <w:r w:rsidRPr="00357DC2">
        <w:rPr>
          <w:lang w:val="fr-FR"/>
        </w:rPr>
        <w:t>de cassation (</w:t>
      </w:r>
      <w:r w:rsidRPr="00357DC2">
        <w:rPr>
          <w:i/>
          <w:lang w:val="fr-FR"/>
        </w:rPr>
        <w:t xml:space="preserve">Meftah et autres c. France </w:t>
      </w:r>
      <w:r w:rsidRPr="00357DC2">
        <w:rPr>
          <w:lang w:val="fr-FR"/>
        </w:rPr>
        <w:t>[GC], n</w:t>
      </w:r>
      <w:r w:rsidR="00EE407D" w:rsidRPr="00357DC2">
        <w:rPr>
          <w:vertAlign w:val="superscript"/>
          <w:lang w:val="fr-FR"/>
        </w:rPr>
        <w:t>os</w:t>
      </w:r>
      <w:r w:rsidR="003A4BAE" w:rsidRPr="00357DC2">
        <w:rPr>
          <w:lang w:val="fr-FR"/>
        </w:rPr>
        <w:t xml:space="preserve"> 32911/96, 35237/97 et </w:t>
      </w:r>
      <w:r w:rsidRPr="00357DC2">
        <w:rPr>
          <w:lang w:val="fr-FR"/>
        </w:rPr>
        <w:t>34595/97, §</w:t>
      </w:r>
      <w:r w:rsidR="00601F13" w:rsidRPr="00357DC2">
        <w:rPr>
          <w:lang w:val="fr-FR"/>
        </w:rPr>
        <w:t> </w:t>
      </w:r>
      <w:r w:rsidRPr="00357DC2">
        <w:rPr>
          <w:lang w:val="fr-FR"/>
        </w:rPr>
        <w:t xml:space="preserve">41, </w:t>
      </w:r>
      <w:r w:rsidR="00E921B0" w:rsidRPr="00357DC2">
        <w:rPr>
          <w:lang w:val="fr-FR"/>
        </w:rPr>
        <w:t xml:space="preserve">CEDH </w:t>
      </w:r>
      <w:r w:rsidRPr="00357DC2">
        <w:rPr>
          <w:lang w:val="fr-FR"/>
        </w:rPr>
        <w:t>2002</w:t>
      </w:r>
      <w:r w:rsidR="00E921B0" w:rsidRPr="00357DC2">
        <w:rPr>
          <w:lang w:val="fr-FR"/>
        </w:rPr>
        <w:t>-VII</w:t>
      </w:r>
      <w:r w:rsidR="00DE63F8" w:rsidRPr="00357DC2">
        <w:rPr>
          <w:lang w:val="fr-FR"/>
        </w:rPr>
        <w:t>,</w:t>
      </w:r>
      <w:r w:rsidRPr="00357DC2">
        <w:rPr>
          <w:lang w:val="fr-FR"/>
        </w:rPr>
        <w:t xml:space="preserve"> </w:t>
      </w:r>
      <w:r w:rsidRPr="00357DC2">
        <w:rPr>
          <w:i/>
          <w:lang w:val="fr-FR"/>
        </w:rPr>
        <w:t>De Jorio c. Italie</w:t>
      </w:r>
      <w:r w:rsidRPr="00357DC2">
        <w:rPr>
          <w:lang w:val="fr-FR"/>
        </w:rPr>
        <w:t xml:space="preserve"> (déc.), n</w:t>
      </w:r>
      <w:r w:rsidR="007A6B24" w:rsidRPr="00357DC2">
        <w:rPr>
          <w:vertAlign w:val="superscript"/>
          <w:lang w:val="fr-FR"/>
        </w:rPr>
        <w:t>o</w:t>
      </w:r>
      <w:r w:rsidR="003A4BAE" w:rsidRPr="00357DC2">
        <w:rPr>
          <w:lang w:val="fr-FR"/>
        </w:rPr>
        <w:t xml:space="preserve"> 73936/01, 6 </w:t>
      </w:r>
      <w:r w:rsidRPr="00357DC2">
        <w:rPr>
          <w:lang w:val="fr-FR"/>
        </w:rPr>
        <w:t>mars 2003</w:t>
      </w:r>
      <w:r w:rsidR="00DE63F8" w:rsidRPr="00357DC2">
        <w:rPr>
          <w:lang w:val="fr-FR"/>
        </w:rPr>
        <w:t>, et</w:t>
      </w:r>
      <w:r w:rsidR="00B12998" w:rsidRPr="00357DC2">
        <w:rPr>
          <w:lang w:val="fr-FR"/>
        </w:rPr>
        <w:t xml:space="preserve"> </w:t>
      </w:r>
      <w:r w:rsidR="00B12998" w:rsidRPr="00357DC2">
        <w:rPr>
          <w:i/>
          <w:lang w:val="fr-FR"/>
        </w:rPr>
        <w:t>Hermi c. Italie</w:t>
      </w:r>
      <w:r w:rsidR="00B12998" w:rsidRPr="00357DC2">
        <w:rPr>
          <w:lang w:val="fr-FR"/>
        </w:rPr>
        <w:t xml:space="preserve"> [GC], n</w:t>
      </w:r>
      <w:r w:rsidR="00B12998" w:rsidRPr="00357DC2">
        <w:rPr>
          <w:vertAlign w:val="superscript"/>
          <w:lang w:val="fr-FR"/>
        </w:rPr>
        <w:t>o</w:t>
      </w:r>
      <w:r w:rsidR="003A4BAE" w:rsidRPr="00357DC2">
        <w:rPr>
          <w:lang w:val="fr-FR"/>
        </w:rPr>
        <w:t xml:space="preserve"> 18114/02, §§ 58-67, CEDH </w:t>
      </w:r>
      <w:r w:rsidR="00B12998" w:rsidRPr="00357DC2">
        <w:rPr>
          <w:lang w:val="fr-FR"/>
        </w:rPr>
        <w:t>2006</w:t>
      </w:r>
      <w:r w:rsidR="00B12998" w:rsidRPr="00357DC2">
        <w:rPr>
          <w:lang w:val="fr-FR"/>
        </w:rPr>
        <w:noBreakHyphen/>
        <w:t>XII</w:t>
      </w:r>
      <w:r w:rsidRPr="00357DC2">
        <w:rPr>
          <w:lang w:val="fr-FR"/>
        </w:rPr>
        <w:t>).</w:t>
      </w:r>
    </w:p>
    <w:p w:rsidR="007A6B24" w:rsidRPr="00357DC2" w:rsidRDefault="000256C9"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76</w:t>
      </w:r>
      <w:r w:rsidRPr="00357DC2">
        <w:rPr>
          <w:lang w:val="fr-FR"/>
        </w:rPr>
        <w:fldChar w:fldCharType="end"/>
      </w:r>
      <w:r w:rsidRPr="00357DC2">
        <w:rPr>
          <w:lang w:val="fr-FR"/>
        </w:rPr>
        <w:t>.  </w:t>
      </w:r>
      <w:r w:rsidR="00630599" w:rsidRPr="00357DC2">
        <w:rPr>
          <w:lang w:val="fr-FR"/>
        </w:rPr>
        <w:t>E</w:t>
      </w:r>
      <w:r w:rsidRPr="00357DC2">
        <w:rPr>
          <w:lang w:val="fr-FR"/>
        </w:rPr>
        <w:t>n l</w:t>
      </w:r>
      <w:r w:rsidR="00357DC2" w:rsidRPr="00357DC2">
        <w:rPr>
          <w:lang w:val="fr-FR"/>
        </w:rPr>
        <w:t>’</w:t>
      </w:r>
      <w:r w:rsidRPr="00357DC2">
        <w:rPr>
          <w:lang w:val="fr-FR"/>
        </w:rPr>
        <w:t>espèce</w:t>
      </w:r>
      <w:r w:rsidR="00A10EC1" w:rsidRPr="00357DC2">
        <w:rPr>
          <w:lang w:val="fr-FR"/>
        </w:rPr>
        <w:t xml:space="preserve">, la Cour vient de relever que la </w:t>
      </w:r>
      <w:r w:rsidR="00B12998" w:rsidRPr="00357DC2">
        <w:rPr>
          <w:lang w:val="fr-FR"/>
        </w:rPr>
        <w:t>C</w:t>
      </w:r>
      <w:r w:rsidR="00F35117" w:rsidRPr="00357DC2">
        <w:rPr>
          <w:lang w:val="fr-FR"/>
        </w:rPr>
        <w:t>our de cassation</w:t>
      </w:r>
      <w:r w:rsidR="00B12998" w:rsidRPr="00357DC2">
        <w:rPr>
          <w:lang w:val="fr-FR"/>
        </w:rPr>
        <w:t xml:space="preserve"> s</w:t>
      </w:r>
      <w:r w:rsidR="00357DC2" w:rsidRPr="00357DC2">
        <w:rPr>
          <w:lang w:val="fr-FR"/>
        </w:rPr>
        <w:t>’</w:t>
      </w:r>
      <w:r w:rsidR="00B12998" w:rsidRPr="00357DC2">
        <w:rPr>
          <w:lang w:val="fr-FR"/>
        </w:rPr>
        <w:t>est consacrée exclusivement à des points de droit et</w:t>
      </w:r>
      <w:r w:rsidR="00F35117" w:rsidRPr="00357DC2">
        <w:rPr>
          <w:lang w:val="fr-FR"/>
        </w:rPr>
        <w:t xml:space="preserve"> </w:t>
      </w:r>
      <w:r w:rsidR="00EE407D" w:rsidRPr="00357DC2">
        <w:rPr>
          <w:lang w:val="fr-FR"/>
        </w:rPr>
        <w:t>qu</w:t>
      </w:r>
      <w:r w:rsidR="00357DC2" w:rsidRPr="00357DC2">
        <w:rPr>
          <w:lang w:val="fr-FR"/>
        </w:rPr>
        <w:t>’</w:t>
      </w:r>
      <w:r w:rsidR="00EE407D" w:rsidRPr="00357DC2">
        <w:rPr>
          <w:lang w:val="fr-FR"/>
        </w:rPr>
        <w:t xml:space="preserve">elle </w:t>
      </w:r>
      <w:r w:rsidR="00F35117" w:rsidRPr="00357DC2">
        <w:rPr>
          <w:lang w:val="fr-FR"/>
        </w:rPr>
        <w:t>ne s</w:t>
      </w:r>
      <w:r w:rsidR="00357DC2" w:rsidRPr="00357DC2">
        <w:rPr>
          <w:lang w:val="fr-FR"/>
        </w:rPr>
        <w:t>’</w:t>
      </w:r>
      <w:r w:rsidR="00F35117" w:rsidRPr="00357DC2">
        <w:rPr>
          <w:lang w:val="fr-FR"/>
        </w:rPr>
        <w:t xml:space="preserve">est pas penchée sur des questions de fait, qui auraient nécessité </w:t>
      </w:r>
      <w:r w:rsidR="00E753B7" w:rsidRPr="00357DC2">
        <w:rPr>
          <w:lang w:val="fr-FR"/>
        </w:rPr>
        <w:t>la</w:t>
      </w:r>
      <w:r w:rsidR="00E0662E" w:rsidRPr="00357DC2">
        <w:rPr>
          <w:lang w:val="fr-FR"/>
        </w:rPr>
        <w:t xml:space="preserve"> présence </w:t>
      </w:r>
      <w:r w:rsidR="00E753B7" w:rsidRPr="00357DC2">
        <w:rPr>
          <w:lang w:val="fr-FR"/>
        </w:rPr>
        <w:t xml:space="preserve">du requérant </w:t>
      </w:r>
      <w:r w:rsidR="00E0662E" w:rsidRPr="00357DC2">
        <w:rPr>
          <w:lang w:val="fr-FR"/>
        </w:rPr>
        <w:t>à l</w:t>
      </w:r>
      <w:r w:rsidR="00357DC2" w:rsidRPr="00357DC2">
        <w:rPr>
          <w:lang w:val="fr-FR"/>
        </w:rPr>
        <w:t>’</w:t>
      </w:r>
      <w:r w:rsidR="00E0662E" w:rsidRPr="00357DC2">
        <w:rPr>
          <w:lang w:val="fr-FR"/>
        </w:rPr>
        <w:t>audience</w:t>
      </w:r>
      <w:r w:rsidR="00B12998" w:rsidRPr="00357DC2">
        <w:rPr>
          <w:lang w:val="fr-FR"/>
        </w:rPr>
        <w:t>.</w:t>
      </w:r>
      <w:r w:rsidR="0012165C" w:rsidRPr="00357DC2">
        <w:rPr>
          <w:lang w:val="fr-FR"/>
        </w:rPr>
        <w:t xml:space="preserve"> </w:t>
      </w:r>
      <w:r w:rsidR="00B12998" w:rsidRPr="00357DC2">
        <w:rPr>
          <w:lang w:val="fr-FR"/>
        </w:rPr>
        <w:t>Il s</w:t>
      </w:r>
      <w:r w:rsidR="00357DC2" w:rsidRPr="00357DC2">
        <w:rPr>
          <w:lang w:val="fr-FR"/>
        </w:rPr>
        <w:t>’</w:t>
      </w:r>
      <w:r w:rsidR="00B12998" w:rsidRPr="00357DC2">
        <w:rPr>
          <w:lang w:val="fr-FR"/>
        </w:rPr>
        <w:t>ensuit que le droit du requérant à un procès équitable n</w:t>
      </w:r>
      <w:r w:rsidR="00357DC2" w:rsidRPr="00357DC2">
        <w:rPr>
          <w:lang w:val="fr-FR"/>
        </w:rPr>
        <w:t>’</w:t>
      </w:r>
      <w:r w:rsidR="00B12998" w:rsidRPr="00357DC2">
        <w:rPr>
          <w:lang w:val="fr-FR"/>
        </w:rPr>
        <w:t xml:space="preserve">a pas été entravé </w:t>
      </w:r>
      <w:r w:rsidR="001D6D11" w:rsidRPr="00357DC2">
        <w:rPr>
          <w:lang w:val="fr-FR"/>
        </w:rPr>
        <w:t>de ce point de vue non plus.</w:t>
      </w:r>
    </w:p>
    <w:p w:rsidR="00AA513A" w:rsidRPr="00357DC2" w:rsidRDefault="00AA513A" w:rsidP="00357DC2">
      <w:pPr>
        <w:pStyle w:val="ECHRHeading4"/>
        <w:rPr>
          <w:lang w:val="fr-FR"/>
        </w:rPr>
      </w:pPr>
      <w:r w:rsidRPr="00357DC2">
        <w:rPr>
          <w:lang w:val="fr-FR"/>
        </w:rPr>
        <w:t>c)  Conclusion</w:t>
      </w:r>
    </w:p>
    <w:p w:rsidR="007A6B24" w:rsidRPr="00357DC2" w:rsidRDefault="003863BE" w:rsidP="00357DC2">
      <w:pPr>
        <w:pStyle w:val="ECHRPara"/>
        <w:rPr>
          <w:lang w:val="fr-FR"/>
        </w:rPr>
      </w:pPr>
      <w:r w:rsidRPr="00357DC2">
        <w:rPr>
          <w:lang w:val="fr-FR"/>
        </w:rPr>
        <w:fldChar w:fldCharType="begin"/>
      </w:r>
      <w:r w:rsidRPr="00357DC2">
        <w:rPr>
          <w:lang w:val="fr-FR"/>
        </w:rPr>
        <w:instrText xml:space="preserve"> SEQ level0 \*arabic </w:instrText>
      </w:r>
      <w:r w:rsidRPr="00357DC2">
        <w:rPr>
          <w:lang w:val="fr-FR"/>
        </w:rPr>
        <w:fldChar w:fldCharType="separate"/>
      </w:r>
      <w:r w:rsidR="00357DC2" w:rsidRPr="00357DC2">
        <w:rPr>
          <w:noProof/>
          <w:lang w:val="fr-FR"/>
        </w:rPr>
        <w:t>77</w:t>
      </w:r>
      <w:r w:rsidRPr="00357DC2">
        <w:rPr>
          <w:lang w:val="fr-FR"/>
        </w:rPr>
        <w:fldChar w:fldCharType="end"/>
      </w:r>
      <w:r w:rsidRPr="00357DC2">
        <w:rPr>
          <w:lang w:val="fr-FR"/>
        </w:rPr>
        <w:t>.  </w:t>
      </w:r>
      <w:r w:rsidR="00DF500F" w:rsidRPr="00357DC2">
        <w:rPr>
          <w:lang w:val="fr-FR"/>
        </w:rPr>
        <w:t>Compte tenu de ce qui précède</w:t>
      </w:r>
      <w:r w:rsidRPr="00357DC2">
        <w:rPr>
          <w:lang w:val="fr-FR"/>
        </w:rPr>
        <w:t xml:space="preserve">, la Cour </w:t>
      </w:r>
      <w:r w:rsidR="00DF500F" w:rsidRPr="00357DC2">
        <w:rPr>
          <w:lang w:val="fr-FR"/>
        </w:rPr>
        <w:t>conclut</w:t>
      </w:r>
      <w:r w:rsidRPr="00357DC2">
        <w:rPr>
          <w:lang w:val="fr-FR"/>
        </w:rPr>
        <w:t xml:space="preserve"> qu</w:t>
      </w:r>
      <w:r w:rsidR="00357DC2" w:rsidRPr="00357DC2">
        <w:rPr>
          <w:lang w:val="fr-FR"/>
        </w:rPr>
        <w:t>’</w:t>
      </w:r>
      <w:r w:rsidRPr="00357DC2">
        <w:rPr>
          <w:lang w:val="fr-FR"/>
        </w:rPr>
        <w:t>il n</w:t>
      </w:r>
      <w:r w:rsidR="00357DC2" w:rsidRPr="00357DC2">
        <w:rPr>
          <w:lang w:val="fr-FR"/>
        </w:rPr>
        <w:t>’</w:t>
      </w:r>
      <w:r w:rsidRPr="00357DC2">
        <w:rPr>
          <w:lang w:val="fr-FR"/>
        </w:rPr>
        <w:t xml:space="preserve">y a pas eu </w:t>
      </w:r>
      <w:r w:rsidR="00DF500F" w:rsidRPr="00357DC2">
        <w:rPr>
          <w:lang w:val="fr-FR"/>
        </w:rPr>
        <w:t>en l</w:t>
      </w:r>
      <w:r w:rsidR="00357DC2" w:rsidRPr="00357DC2">
        <w:rPr>
          <w:lang w:val="fr-FR"/>
        </w:rPr>
        <w:t>’</w:t>
      </w:r>
      <w:r w:rsidR="00DF500F" w:rsidRPr="00357DC2">
        <w:rPr>
          <w:lang w:val="fr-FR"/>
        </w:rPr>
        <w:t xml:space="preserve">espèce </w:t>
      </w:r>
      <w:r w:rsidRPr="00357DC2">
        <w:rPr>
          <w:lang w:val="fr-FR"/>
        </w:rPr>
        <w:t>violation de l</w:t>
      </w:r>
      <w:r w:rsidR="00357DC2" w:rsidRPr="00357DC2">
        <w:rPr>
          <w:lang w:val="fr-FR"/>
        </w:rPr>
        <w:t>’</w:t>
      </w:r>
      <w:r w:rsidRPr="00357DC2">
        <w:rPr>
          <w:lang w:val="fr-FR"/>
        </w:rPr>
        <w:t>article 6 §§ 1 et 3 de la Convention.</w:t>
      </w:r>
    </w:p>
    <w:p w:rsidR="00520396" w:rsidRPr="00357DC2" w:rsidRDefault="00520396" w:rsidP="00357DC2">
      <w:pPr>
        <w:pStyle w:val="ECHRTitle1"/>
        <w:rPr>
          <w:lang w:val="fr-FR"/>
        </w:rPr>
      </w:pPr>
      <w:r w:rsidRPr="00357DC2">
        <w:rPr>
          <w:lang w:val="fr-FR"/>
        </w:rPr>
        <w:lastRenderedPageBreak/>
        <w:t>PAR CES MOTIFS, LA COUR, À L</w:t>
      </w:r>
      <w:r w:rsidR="00357DC2" w:rsidRPr="00357DC2">
        <w:rPr>
          <w:lang w:val="fr-FR"/>
        </w:rPr>
        <w:t>’</w:t>
      </w:r>
      <w:r w:rsidRPr="00357DC2">
        <w:rPr>
          <w:lang w:val="fr-FR"/>
        </w:rPr>
        <w:t>UNANIMITÉ,</w:t>
      </w:r>
    </w:p>
    <w:p w:rsidR="00520396" w:rsidRPr="00357DC2" w:rsidRDefault="00520396" w:rsidP="00357DC2">
      <w:pPr>
        <w:pStyle w:val="JuList"/>
        <w:keepNext/>
        <w:keepLines/>
        <w:rPr>
          <w:lang w:val="fr-FR"/>
        </w:rPr>
      </w:pPr>
      <w:r w:rsidRPr="00357DC2">
        <w:rPr>
          <w:lang w:val="fr-FR"/>
        </w:rPr>
        <w:t>1.  </w:t>
      </w:r>
      <w:r w:rsidRPr="00357DC2">
        <w:rPr>
          <w:i/>
          <w:lang w:val="fr-FR"/>
        </w:rPr>
        <w:t>Déclare</w:t>
      </w:r>
      <w:r w:rsidRPr="00357DC2">
        <w:rPr>
          <w:lang w:val="fr-FR"/>
        </w:rPr>
        <w:t xml:space="preserve"> la requête recevable</w:t>
      </w:r>
      <w:r w:rsidR="00B236B1" w:rsidRPr="00357DC2">
        <w:rPr>
          <w:lang w:val="fr-FR"/>
        </w:rPr>
        <w:t> ;</w:t>
      </w:r>
    </w:p>
    <w:p w:rsidR="00520396" w:rsidRPr="00357DC2" w:rsidRDefault="00520396" w:rsidP="00357DC2">
      <w:pPr>
        <w:pStyle w:val="JuList"/>
        <w:keepNext/>
        <w:keepLines/>
        <w:rPr>
          <w:lang w:val="fr-FR"/>
        </w:rPr>
      </w:pPr>
    </w:p>
    <w:p w:rsidR="00520396" w:rsidRPr="00357DC2" w:rsidRDefault="00F61FE4" w:rsidP="00357DC2">
      <w:pPr>
        <w:pStyle w:val="JuList"/>
        <w:keepNext/>
        <w:keepLines/>
        <w:rPr>
          <w:lang w:val="fr-FR"/>
        </w:rPr>
      </w:pPr>
      <w:r w:rsidRPr="00357DC2">
        <w:rPr>
          <w:lang w:val="fr-FR"/>
        </w:rPr>
        <w:t>2</w:t>
      </w:r>
      <w:r w:rsidR="00520396" w:rsidRPr="00357DC2">
        <w:rPr>
          <w:lang w:val="fr-FR"/>
        </w:rPr>
        <w:t>.  </w:t>
      </w:r>
      <w:r w:rsidR="00520396" w:rsidRPr="00357DC2">
        <w:rPr>
          <w:i/>
          <w:lang w:val="fr-FR"/>
        </w:rPr>
        <w:t>Dit</w:t>
      </w:r>
      <w:r w:rsidR="00520396" w:rsidRPr="00357DC2">
        <w:rPr>
          <w:lang w:val="fr-FR"/>
        </w:rPr>
        <w:t xml:space="preserve"> qu</w:t>
      </w:r>
      <w:r w:rsidR="00357DC2" w:rsidRPr="00357DC2">
        <w:rPr>
          <w:lang w:val="fr-FR"/>
        </w:rPr>
        <w:t>’</w:t>
      </w:r>
      <w:r w:rsidR="00520396" w:rsidRPr="00357DC2">
        <w:rPr>
          <w:lang w:val="fr-FR"/>
        </w:rPr>
        <w:t xml:space="preserve">il </w:t>
      </w:r>
      <w:r w:rsidR="00E70DAE" w:rsidRPr="00357DC2">
        <w:rPr>
          <w:lang w:val="fr-FR"/>
        </w:rPr>
        <w:t>n</w:t>
      </w:r>
      <w:r w:rsidR="00357DC2" w:rsidRPr="00357DC2">
        <w:rPr>
          <w:lang w:val="fr-FR"/>
        </w:rPr>
        <w:t>’</w:t>
      </w:r>
      <w:r w:rsidR="00520396" w:rsidRPr="00357DC2">
        <w:rPr>
          <w:lang w:val="fr-FR"/>
        </w:rPr>
        <w:t xml:space="preserve">y a </w:t>
      </w:r>
      <w:r w:rsidR="00E70DAE" w:rsidRPr="00357DC2">
        <w:rPr>
          <w:lang w:val="fr-FR"/>
        </w:rPr>
        <w:t xml:space="preserve">pas </w:t>
      </w:r>
      <w:r w:rsidR="00520396" w:rsidRPr="00357DC2">
        <w:rPr>
          <w:lang w:val="fr-FR"/>
        </w:rPr>
        <w:t>eu violation de l</w:t>
      </w:r>
      <w:r w:rsidR="00357DC2" w:rsidRPr="00357DC2">
        <w:rPr>
          <w:lang w:val="fr-FR"/>
        </w:rPr>
        <w:t>’</w:t>
      </w:r>
      <w:r w:rsidR="00520396" w:rsidRPr="00357DC2">
        <w:rPr>
          <w:lang w:val="fr-FR"/>
        </w:rPr>
        <w:t xml:space="preserve">article </w:t>
      </w:r>
      <w:r w:rsidR="00E70DAE" w:rsidRPr="00357DC2">
        <w:rPr>
          <w:lang w:val="fr-FR"/>
        </w:rPr>
        <w:t>6 §§ 1 et 3</w:t>
      </w:r>
      <w:r w:rsidR="00520396" w:rsidRPr="00357DC2">
        <w:rPr>
          <w:lang w:val="fr-FR"/>
        </w:rPr>
        <w:t xml:space="preserve"> de la Convention</w:t>
      </w:r>
      <w:r w:rsidR="00DE63F8" w:rsidRPr="00357DC2">
        <w:rPr>
          <w:lang w:val="fr-FR"/>
        </w:rPr>
        <w:t>.</w:t>
      </w:r>
    </w:p>
    <w:p w:rsidR="00520396" w:rsidRPr="00357DC2" w:rsidRDefault="00520396" w:rsidP="00357DC2">
      <w:pPr>
        <w:pStyle w:val="JuParaLast"/>
        <w:rPr>
          <w:lang w:val="fr-FR"/>
        </w:rPr>
      </w:pPr>
      <w:r w:rsidRPr="00357DC2">
        <w:rPr>
          <w:lang w:val="fr-FR"/>
        </w:rPr>
        <w:t>Fait en français, puis communiqué par écrit le</w:t>
      </w:r>
      <w:r w:rsidR="00971805" w:rsidRPr="00357DC2">
        <w:rPr>
          <w:lang w:val="fr-FR"/>
        </w:rPr>
        <w:t xml:space="preserve"> 22 février 2018</w:t>
      </w:r>
      <w:r w:rsidRPr="00357DC2">
        <w:rPr>
          <w:lang w:val="fr-FR"/>
        </w:rPr>
        <w:t>, en application de l</w:t>
      </w:r>
      <w:r w:rsidR="00357DC2" w:rsidRPr="00357DC2">
        <w:rPr>
          <w:lang w:val="fr-FR"/>
        </w:rPr>
        <w:t>’</w:t>
      </w:r>
      <w:r w:rsidRPr="00357DC2">
        <w:rPr>
          <w:lang w:val="fr-FR"/>
        </w:rPr>
        <w:t>article 77 §§ 2 et 3 du règlement de la Cour.</w:t>
      </w:r>
    </w:p>
    <w:p w:rsidR="00520396" w:rsidRPr="00357DC2" w:rsidRDefault="00520396" w:rsidP="00357DC2">
      <w:pPr>
        <w:pStyle w:val="JuSigned"/>
        <w:keepNext/>
        <w:keepLines/>
        <w:tabs>
          <w:tab w:val="clear" w:pos="6407"/>
          <w:tab w:val="center" w:pos="6096"/>
        </w:tabs>
        <w:rPr>
          <w:lang w:val="fr-FR"/>
        </w:rPr>
      </w:pPr>
      <w:r w:rsidRPr="00357DC2">
        <w:rPr>
          <w:lang w:val="fr-FR"/>
        </w:rPr>
        <w:tab/>
        <w:t>Abel Campos</w:t>
      </w:r>
      <w:r w:rsidRPr="00357DC2">
        <w:rPr>
          <w:lang w:val="fr-FR"/>
        </w:rPr>
        <w:tab/>
      </w:r>
      <w:r w:rsidRPr="00357DC2">
        <w:rPr>
          <w:szCs w:val="24"/>
          <w:lang w:val="fr-FR"/>
        </w:rPr>
        <w:t>Linos-Alexandre Sicilianos</w:t>
      </w:r>
      <w:r w:rsidRPr="00357DC2">
        <w:rPr>
          <w:lang w:val="fr-FR"/>
        </w:rPr>
        <w:br/>
      </w:r>
      <w:r w:rsidRPr="00357DC2">
        <w:rPr>
          <w:lang w:val="fr-FR"/>
        </w:rPr>
        <w:tab/>
        <w:t>Greffier</w:t>
      </w:r>
      <w:r w:rsidRPr="00357DC2">
        <w:rPr>
          <w:lang w:val="fr-FR"/>
        </w:rPr>
        <w:tab/>
        <w:t>Président</w:t>
      </w:r>
    </w:p>
    <w:sectPr w:rsidR="00520396" w:rsidRPr="00357DC2" w:rsidSect="00F433CB">
      <w:headerReference w:type="even" r:id="rId14"/>
      <w:headerReference w:type="default" r:id="rId15"/>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8EB" w:rsidRPr="007C1C7F" w:rsidRDefault="004328EB" w:rsidP="00E77CB3">
      <w:pPr>
        <w:rPr>
          <w:lang w:val="fr-FR"/>
        </w:rPr>
      </w:pPr>
      <w:r w:rsidRPr="007C1C7F">
        <w:rPr>
          <w:lang w:val="fr-FR"/>
        </w:rPr>
        <w:separator/>
      </w:r>
    </w:p>
  </w:endnote>
  <w:endnote w:type="continuationSeparator" w:id="0">
    <w:p w:rsidR="004328EB" w:rsidRPr="007C1C7F" w:rsidRDefault="004328EB" w:rsidP="00E77CB3">
      <w:pPr>
        <w:rPr>
          <w:lang w:val="fr-FR"/>
        </w:rPr>
      </w:pPr>
      <w:r w:rsidRPr="007C1C7F">
        <w:rPr>
          <w:lang w:val="fr-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805" w:rsidRPr="00150BFA" w:rsidRDefault="00971805" w:rsidP="00971805">
    <w:pPr>
      <w:jc w:val="center"/>
    </w:pPr>
    <w:r>
      <w:rPr>
        <w:noProof/>
        <w:lang w:val="it-IT" w:eastAsia="it-IT"/>
      </w:rPr>
      <w:drawing>
        <wp:inline distT="0" distB="0" distL="0" distR="0" wp14:anchorId="38453683" wp14:editId="524902F3">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71805" w:rsidRDefault="0097180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8EB" w:rsidRPr="007C1C7F" w:rsidRDefault="004328EB" w:rsidP="00E77CB3">
      <w:pPr>
        <w:rPr>
          <w:lang w:val="fr-FR"/>
        </w:rPr>
      </w:pPr>
      <w:r w:rsidRPr="007C1C7F">
        <w:rPr>
          <w:lang w:val="fr-FR"/>
        </w:rPr>
        <w:separator/>
      </w:r>
    </w:p>
  </w:footnote>
  <w:footnote w:type="continuationSeparator" w:id="0">
    <w:p w:rsidR="004328EB" w:rsidRPr="007C1C7F" w:rsidRDefault="004328EB" w:rsidP="00E77CB3">
      <w:pPr>
        <w:rPr>
          <w:lang w:val="fr-FR"/>
        </w:rPr>
      </w:pPr>
      <w:r w:rsidRPr="007C1C7F">
        <w:rPr>
          <w:lang w:val="fr-FR"/>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805" w:rsidRPr="00F433CB" w:rsidRDefault="00971805" w:rsidP="00F433CB">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805" w:rsidRPr="00A45145" w:rsidRDefault="00971805" w:rsidP="00971805">
    <w:pPr>
      <w:jc w:val="center"/>
    </w:pPr>
    <w:r>
      <w:rPr>
        <w:noProof/>
        <w:lang w:val="it-IT" w:eastAsia="it-IT"/>
      </w:rPr>
      <w:drawing>
        <wp:inline distT="0" distB="0" distL="0" distR="0" wp14:anchorId="6A69C49C" wp14:editId="76A8795F">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71805" w:rsidRDefault="0097180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805" w:rsidRPr="007A6B24" w:rsidRDefault="00971805" w:rsidP="00C611D8">
    <w:pPr>
      <w:pStyle w:val="ECHRHeader"/>
      <w:rPr>
        <w:lang w:val="pt-PT"/>
      </w:rPr>
    </w:pPr>
    <w:r>
      <w:rPr>
        <w:rStyle w:val="Numeropagina"/>
      </w:rPr>
      <w:fldChar w:fldCharType="begin"/>
    </w:r>
    <w:r w:rsidRPr="007A6B24">
      <w:rPr>
        <w:rStyle w:val="Numeropagina"/>
        <w:lang w:val="pt-PT"/>
      </w:rPr>
      <w:instrText xml:space="preserve"> PAGE </w:instrText>
    </w:r>
    <w:r>
      <w:rPr>
        <w:rStyle w:val="Numeropagina"/>
      </w:rPr>
      <w:fldChar w:fldCharType="separate"/>
    </w:r>
    <w:r w:rsidR="00A31522">
      <w:rPr>
        <w:rStyle w:val="Numeropagina"/>
        <w:noProof/>
        <w:lang w:val="pt-PT"/>
      </w:rPr>
      <w:t>18</w:t>
    </w:r>
    <w:r>
      <w:rPr>
        <w:rStyle w:val="Numeropagina"/>
      </w:rPr>
      <w:fldChar w:fldCharType="end"/>
    </w:r>
    <w:r w:rsidRPr="007A6B24">
      <w:rPr>
        <w:rStyle w:val="Numeropagina"/>
        <w:lang w:val="pt-PT"/>
      </w:rPr>
      <w:tab/>
    </w:r>
    <w:r>
      <w:rPr>
        <w:noProof/>
        <w:lang w:val="pt-PT"/>
      </w:rPr>
      <w:t>ARRÊT</w:t>
    </w:r>
    <w:r w:rsidR="003A4BAE">
      <w:rPr>
        <w:lang w:val="pt-PT"/>
      </w:rPr>
      <w:t xml:space="preserve"> DRASSICH c. ITALIE (</w:t>
    </w:r>
    <w:r w:rsidR="003A4BAE" w:rsidRPr="003A4BAE">
      <w:rPr>
        <w:lang w:val="fr-FR"/>
      </w:rPr>
      <w:t>n</w:t>
    </w:r>
    <w:r w:rsidR="003A4BAE" w:rsidRPr="003A4BAE">
      <w:rPr>
        <w:vertAlign w:val="superscript"/>
        <w:lang w:val="fr-FR"/>
      </w:rPr>
      <w:t>o</w:t>
    </w:r>
    <w:r w:rsidRPr="007A6B24">
      <w:rPr>
        <w:lang w:val="pt-PT"/>
      </w:rPr>
      <w:t xml:space="preserve">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805" w:rsidRPr="00213A89" w:rsidRDefault="00971805" w:rsidP="00C63990">
    <w:pPr>
      <w:pStyle w:val="ECHRHeader"/>
    </w:pPr>
    <w:r w:rsidRPr="007C1C7F">
      <w:rPr>
        <w:lang w:val="fr-FR"/>
      </w:rPr>
      <w:tab/>
    </w:r>
    <w:r>
      <w:rPr>
        <w:noProof/>
      </w:rPr>
      <w:t>ARRÊT</w:t>
    </w:r>
    <w:r w:rsidRPr="00553E3F">
      <w:t xml:space="preserve"> </w:t>
    </w:r>
    <w:r w:rsidR="003A4BAE">
      <w:t>DRASSICH c. ITALIE (</w:t>
    </w:r>
    <w:r w:rsidR="003A4BAE" w:rsidRPr="003A4BAE">
      <w:rPr>
        <w:lang w:val="fr-FR"/>
      </w:rPr>
      <w:t>n</w:t>
    </w:r>
    <w:r w:rsidR="003A4BAE" w:rsidRPr="003A4BAE">
      <w:rPr>
        <w:vertAlign w:val="superscript"/>
        <w:lang w:val="fr-FR"/>
      </w:rPr>
      <w:t>o</w:t>
    </w:r>
    <w:r>
      <w:t xml:space="preserve"> 2)</w:t>
    </w:r>
    <w:r w:rsidRPr="00553E3F">
      <w:tab/>
    </w:r>
    <w:r>
      <w:rPr>
        <w:rStyle w:val="Numeropagina"/>
      </w:rPr>
      <w:fldChar w:fldCharType="begin"/>
    </w:r>
    <w:r>
      <w:rPr>
        <w:rStyle w:val="Numeropagina"/>
      </w:rPr>
      <w:instrText xml:space="preserve"> PAGE </w:instrText>
    </w:r>
    <w:r>
      <w:rPr>
        <w:rStyle w:val="Numeropagina"/>
      </w:rPr>
      <w:fldChar w:fldCharType="separate"/>
    </w:r>
    <w:r w:rsidR="00A31522">
      <w:rPr>
        <w:rStyle w:val="Numeropagina"/>
        <w:noProof/>
      </w:rPr>
      <w:t>19</w:t>
    </w:r>
    <w:r>
      <w:rPr>
        <w:rStyle w:val="Numeropagina"/>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40AA222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AC189B28"/>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0C4301E"/>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C7268F2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CFA0A718"/>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FB382924"/>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268AD308"/>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20501D42"/>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CDE43E0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03AEA0B8"/>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4E8750E"/>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063F06"/>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D7306C"/>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9"/>
  </w:num>
  <w:num w:numId="2">
    <w:abstractNumId w:val="11"/>
  </w:num>
  <w:num w:numId="3">
    <w:abstractNumId w:val="10"/>
  </w:num>
  <w:num w:numId="4">
    <w:abstractNumId w:val="12"/>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13"/>
  </w:num>
  <w:num w:numId="16">
    <w:abstractNumId w:val="13"/>
  </w:num>
  <w:num w:numId="17">
    <w:abstractNumId w:val="13"/>
  </w:num>
  <w:num w:numId="18">
    <w:abstractNumId w:val="13"/>
  </w:num>
  <w:num w:numId="19">
    <w:abstractNumId w:val="13"/>
  </w:num>
  <w:num w:numId="20">
    <w:abstractNumId w:val="13"/>
  </w:num>
  <w:num w:numId="21">
    <w:abstractNumId w:val="13"/>
  </w:num>
  <w:num w:numId="22">
    <w:abstractNumId w:val="13"/>
  </w:num>
  <w:num w:numId="23">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MM" w:val="0"/>
    <w:docVar w:name="NBEMMDOC" w:val="0"/>
  </w:docVars>
  <w:rsids>
    <w:rsidRoot w:val="00520396"/>
    <w:rsid w:val="000041F8"/>
    <w:rsid w:val="000042A8"/>
    <w:rsid w:val="00004308"/>
    <w:rsid w:val="00005BF0"/>
    <w:rsid w:val="00007154"/>
    <w:rsid w:val="000103AE"/>
    <w:rsid w:val="00010E36"/>
    <w:rsid w:val="00011D0B"/>
    <w:rsid w:val="00011D69"/>
    <w:rsid w:val="00012AD3"/>
    <w:rsid w:val="00015C2D"/>
    <w:rsid w:val="00015F00"/>
    <w:rsid w:val="00020ADA"/>
    <w:rsid w:val="000211AF"/>
    <w:rsid w:val="00022C1D"/>
    <w:rsid w:val="000256C9"/>
    <w:rsid w:val="00025879"/>
    <w:rsid w:val="00030C2E"/>
    <w:rsid w:val="00031347"/>
    <w:rsid w:val="000325A0"/>
    <w:rsid w:val="00034987"/>
    <w:rsid w:val="00035334"/>
    <w:rsid w:val="00043A74"/>
    <w:rsid w:val="00045005"/>
    <w:rsid w:val="00046AF3"/>
    <w:rsid w:val="00050E75"/>
    <w:rsid w:val="000602DF"/>
    <w:rsid w:val="00060790"/>
    <w:rsid w:val="00061B05"/>
    <w:rsid w:val="00062019"/>
    <w:rsid w:val="000632D5"/>
    <w:rsid w:val="000644EE"/>
    <w:rsid w:val="00064559"/>
    <w:rsid w:val="00066A71"/>
    <w:rsid w:val="000743D6"/>
    <w:rsid w:val="00074A2A"/>
    <w:rsid w:val="00075EE4"/>
    <w:rsid w:val="000764EB"/>
    <w:rsid w:val="00086C0C"/>
    <w:rsid w:val="000925AD"/>
    <w:rsid w:val="000935FB"/>
    <w:rsid w:val="000A24EB"/>
    <w:rsid w:val="000A7BBD"/>
    <w:rsid w:val="000B0E7D"/>
    <w:rsid w:val="000B3DFF"/>
    <w:rsid w:val="000B6923"/>
    <w:rsid w:val="000C3248"/>
    <w:rsid w:val="000C5BB0"/>
    <w:rsid w:val="000C5F3C"/>
    <w:rsid w:val="000C6DCC"/>
    <w:rsid w:val="000D47AA"/>
    <w:rsid w:val="000D6774"/>
    <w:rsid w:val="000D721F"/>
    <w:rsid w:val="000E069B"/>
    <w:rsid w:val="000E0E82"/>
    <w:rsid w:val="000E1DC5"/>
    <w:rsid w:val="000E2057"/>
    <w:rsid w:val="000E223F"/>
    <w:rsid w:val="000E46ED"/>
    <w:rsid w:val="000E5607"/>
    <w:rsid w:val="000E5A6B"/>
    <w:rsid w:val="000E7D45"/>
    <w:rsid w:val="000F00EF"/>
    <w:rsid w:val="000F7851"/>
    <w:rsid w:val="00101528"/>
    <w:rsid w:val="00104E23"/>
    <w:rsid w:val="0011199A"/>
    <w:rsid w:val="00111B0C"/>
    <w:rsid w:val="00116DC2"/>
    <w:rsid w:val="001170D6"/>
    <w:rsid w:val="00120D6C"/>
    <w:rsid w:val="0012165C"/>
    <w:rsid w:val="00122143"/>
    <w:rsid w:val="001225FE"/>
    <w:rsid w:val="00124623"/>
    <w:rsid w:val="001257EC"/>
    <w:rsid w:val="00125CD3"/>
    <w:rsid w:val="00126034"/>
    <w:rsid w:val="0012605B"/>
    <w:rsid w:val="00126178"/>
    <w:rsid w:val="00132695"/>
    <w:rsid w:val="00133D33"/>
    <w:rsid w:val="00134D64"/>
    <w:rsid w:val="001358E5"/>
    <w:rsid w:val="00135A30"/>
    <w:rsid w:val="0013612C"/>
    <w:rsid w:val="00137FF6"/>
    <w:rsid w:val="00141650"/>
    <w:rsid w:val="00141CFC"/>
    <w:rsid w:val="00142EF1"/>
    <w:rsid w:val="001516A3"/>
    <w:rsid w:val="00152C28"/>
    <w:rsid w:val="0015704F"/>
    <w:rsid w:val="0016174F"/>
    <w:rsid w:val="001619D7"/>
    <w:rsid w:val="00162A12"/>
    <w:rsid w:val="00163CB4"/>
    <w:rsid w:val="00165181"/>
    <w:rsid w:val="00166530"/>
    <w:rsid w:val="00172C29"/>
    <w:rsid w:val="00173440"/>
    <w:rsid w:val="00182B3A"/>
    <w:rsid w:val="001832BD"/>
    <w:rsid w:val="00190A91"/>
    <w:rsid w:val="001943B5"/>
    <w:rsid w:val="00194C67"/>
    <w:rsid w:val="00195134"/>
    <w:rsid w:val="001A145B"/>
    <w:rsid w:val="001A1A53"/>
    <w:rsid w:val="001A1CD4"/>
    <w:rsid w:val="001A3EF2"/>
    <w:rsid w:val="001A4172"/>
    <w:rsid w:val="001A674C"/>
    <w:rsid w:val="001B3B24"/>
    <w:rsid w:val="001B7851"/>
    <w:rsid w:val="001C0F98"/>
    <w:rsid w:val="001C2A42"/>
    <w:rsid w:val="001C3531"/>
    <w:rsid w:val="001C41FA"/>
    <w:rsid w:val="001D499A"/>
    <w:rsid w:val="001D63ED"/>
    <w:rsid w:val="001D6D11"/>
    <w:rsid w:val="001D7348"/>
    <w:rsid w:val="001E035B"/>
    <w:rsid w:val="001E0961"/>
    <w:rsid w:val="001E0B6D"/>
    <w:rsid w:val="001E3EAE"/>
    <w:rsid w:val="001E6B56"/>
    <w:rsid w:val="001E6F32"/>
    <w:rsid w:val="001E7C5F"/>
    <w:rsid w:val="001F0055"/>
    <w:rsid w:val="001F2145"/>
    <w:rsid w:val="001F26B5"/>
    <w:rsid w:val="001F3C8E"/>
    <w:rsid w:val="001F3F39"/>
    <w:rsid w:val="001F4E43"/>
    <w:rsid w:val="001F6262"/>
    <w:rsid w:val="001F67B0"/>
    <w:rsid w:val="001F6F11"/>
    <w:rsid w:val="001F7B3D"/>
    <w:rsid w:val="00204E29"/>
    <w:rsid w:val="00205D6A"/>
    <w:rsid w:val="00205F9F"/>
    <w:rsid w:val="00210183"/>
    <w:rsid w:val="00210338"/>
    <w:rsid w:val="002115FC"/>
    <w:rsid w:val="00213A89"/>
    <w:rsid w:val="0021423C"/>
    <w:rsid w:val="00214E1C"/>
    <w:rsid w:val="002176A9"/>
    <w:rsid w:val="00221EF9"/>
    <w:rsid w:val="00223847"/>
    <w:rsid w:val="002304E7"/>
    <w:rsid w:val="00230D00"/>
    <w:rsid w:val="00231DF7"/>
    <w:rsid w:val="00231FD1"/>
    <w:rsid w:val="00232AC3"/>
    <w:rsid w:val="002339E0"/>
    <w:rsid w:val="00233CF8"/>
    <w:rsid w:val="0023575D"/>
    <w:rsid w:val="00235DA9"/>
    <w:rsid w:val="00236E64"/>
    <w:rsid w:val="00237148"/>
    <w:rsid w:val="00241A9B"/>
    <w:rsid w:val="0024222D"/>
    <w:rsid w:val="00243432"/>
    <w:rsid w:val="00244B0E"/>
    <w:rsid w:val="00244F6C"/>
    <w:rsid w:val="00246ABB"/>
    <w:rsid w:val="002479AC"/>
    <w:rsid w:val="002532C5"/>
    <w:rsid w:val="00253FA7"/>
    <w:rsid w:val="00260C03"/>
    <w:rsid w:val="00264959"/>
    <w:rsid w:val="0026540E"/>
    <w:rsid w:val="00271B4B"/>
    <w:rsid w:val="00273680"/>
    <w:rsid w:val="00275123"/>
    <w:rsid w:val="00277D89"/>
    <w:rsid w:val="00282240"/>
    <w:rsid w:val="00291379"/>
    <w:rsid w:val="002948AD"/>
    <w:rsid w:val="002A01CC"/>
    <w:rsid w:val="002A61B1"/>
    <w:rsid w:val="002A663C"/>
    <w:rsid w:val="002B444B"/>
    <w:rsid w:val="002B47C8"/>
    <w:rsid w:val="002B5887"/>
    <w:rsid w:val="002B7F37"/>
    <w:rsid w:val="002C0E27"/>
    <w:rsid w:val="002C3040"/>
    <w:rsid w:val="002C41E7"/>
    <w:rsid w:val="002C44B0"/>
    <w:rsid w:val="002C4B16"/>
    <w:rsid w:val="002C79E1"/>
    <w:rsid w:val="002D0007"/>
    <w:rsid w:val="002D022D"/>
    <w:rsid w:val="002D23B6"/>
    <w:rsid w:val="002D24BB"/>
    <w:rsid w:val="002D3518"/>
    <w:rsid w:val="002E02CB"/>
    <w:rsid w:val="002E1034"/>
    <w:rsid w:val="002E251C"/>
    <w:rsid w:val="002F2AF7"/>
    <w:rsid w:val="002F7E1C"/>
    <w:rsid w:val="00301A75"/>
    <w:rsid w:val="00302462"/>
    <w:rsid w:val="00302F70"/>
    <w:rsid w:val="0030336F"/>
    <w:rsid w:val="0030375E"/>
    <w:rsid w:val="00304355"/>
    <w:rsid w:val="0030524C"/>
    <w:rsid w:val="00312A30"/>
    <w:rsid w:val="003133BB"/>
    <w:rsid w:val="003171D5"/>
    <w:rsid w:val="003175BA"/>
    <w:rsid w:val="00320F72"/>
    <w:rsid w:val="0032463E"/>
    <w:rsid w:val="003252F0"/>
    <w:rsid w:val="00326224"/>
    <w:rsid w:val="003271A6"/>
    <w:rsid w:val="00331FCA"/>
    <w:rsid w:val="0033552A"/>
    <w:rsid w:val="00336FF6"/>
    <w:rsid w:val="00337EE4"/>
    <w:rsid w:val="00340FFD"/>
    <w:rsid w:val="00343E53"/>
    <w:rsid w:val="0034726C"/>
    <w:rsid w:val="00347339"/>
    <w:rsid w:val="003506B1"/>
    <w:rsid w:val="00352187"/>
    <w:rsid w:val="00354374"/>
    <w:rsid w:val="00354AB9"/>
    <w:rsid w:val="00354F8C"/>
    <w:rsid w:val="0035527D"/>
    <w:rsid w:val="00355310"/>
    <w:rsid w:val="00356AC7"/>
    <w:rsid w:val="00357DC2"/>
    <w:rsid w:val="00360179"/>
    <w:rsid w:val="003609FA"/>
    <w:rsid w:val="0036780D"/>
    <w:rsid w:val="003710C8"/>
    <w:rsid w:val="0037159F"/>
    <w:rsid w:val="003750BE"/>
    <w:rsid w:val="003752BE"/>
    <w:rsid w:val="00376982"/>
    <w:rsid w:val="00383EBE"/>
    <w:rsid w:val="00384171"/>
    <w:rsid w:val="00384D70"/>
    <w:rsid w:val="003863BE"/>
    <w:rsid w:val="00387B9D"/>
    <w:rsid w:val="0039364F"/>
    <w:rsid w:val="003956A4"/>
    <w:rsid w:val="00396686"/>
    <w:rsid w:val="0039758C"/>
    <w:rsid w:val="0039778E"/>
    <w:rsid w:val="003A034C"/>
    <w:rsid w:val="003A0BD6"/>
    <w:rsid w:val="003A4BAE"/>
    <w:rsid w:val="003B278D"/>
    <w:rsid w:val="003B2814"/>
    <w:rsid w:val="003B4941"/>
    <w:rsid w:val="003B5D6F"/>
    <w:rsid w:val="003B62A5"/>
    <w:rsid w:val="003C5714"/>
    <w:rsid w:val="003C5A8C"/>
    <w:rsid w:val="003C6B9F"/>
    <w:rsid w:val="003C6E2A"/>
    <w:rsid w:val="003D0160"/>
    <w:rsid w:val="003D01E7"/>
    <w:rsid w:val="003D0299"/>
    <w:rsid w:val="003D5EDA"/>
    <w:rsid w:val="003E345E"/>
    <w:rsid w:val="003E6A31"/>
    <w:rsid w:val="003E6D80"/>
    <w:rsid w:val="003F05FA"/>
    <w:rsid w:val="003F244A"/>
    <w:rsid w:val="003F30B8"/>
    <w:rsid w:val="003F4C45"/>
    <w:rsid w:val="003F5F7B"/>
    <w:rsid w:val="003F7D64"/>
    <w:rsid w:val="00405E2F"/>
    <w:rsid w:val="00414300"/>
    <w:rsid w:val="004147EA"/>
    <w:rsid w:val="00416921"/>
    <w:rsid w:val="00421F56"/>
    <w:rsid w:val="00422CE4"/>
    <w:rsid w:val="0042454C"/>
    <w:rsid w:val="00425C67"/>
    <w:rsid w:val="00427E7A"/>
    <w:rsid w:val="004328EB"/>
    <w:rsid w:val="00434EC4"/>
    <w:rsid w:val="00436C49"/>
    <w:rsid w:val="00443D0B"/>
    <w:rsid w:val="00445366"/>
    <w:rsid w:val="00447362"/>
    <w:rsid w:val="004475B5"/>
    <w:rsid w:val="00447F5B"/>
    <w:rsid w:val="0045067D"/>
    <w:rsid w:val="004552BC"/>
    <w:rsid w:val="00457120"/>
    <w:rsid w:val="00461DB0"/>
    <w:rsid w:val="00463926"/>
    <w:rsid w:val="00464C9A"/>
    <w:rsid w:val="004741F5"/>
    <w:rsid w:val="00474F3D"/>
    <w:rsid w:val="004763E8"/>
    <w:rsid w:val="00477E3A"/>
    <w:rsid w:val="00482C6E"/>
    <w:rsid w:val="00483E5F"/>
    <w:rsid w:val="00485BCD"/>
    <w:rsid w:val="00485FF9"/>
    <w:rsid w:val="00487BBE"/>
    <w:rsid w:val="00487DE5"/>
    <w:rsid w:val="004907F0"/>
    <w:rsid w:val="0049140B"/>
    <w:rsid w:val="00492372"/>
    <w:rsid w:val="004923A5"/>
    <w:rsid w:val="00496BFB"/>
    <w:rsid w:val="004A0A32"/>
    <w:rsid w:val="004A15C7"/>
    <w:rsid w:val="004A7049"/>
    <w:rsid w:val="004A7581"/>
    <w:rsid w:val="004B013B"/>
    <w:rsid w:val="004B112B"/>
    <w:rsid w:val="004B65CC"/>
    <w:rsid w:val="004B6D98"/>
    <w:rsid w:val="004C01E4"/>
    <w:rsid w:val="004C086C"/>
    <w:rsid w:val="004C1F56"/>
    <w:rsid w:val="004C27BC"/>
    <w:rsid w:val="004C54AC"/>
    <w:rsid w:val="004C5D17"/>
    <w:rsid w:val="004D15F3"/>
    <w:rsid w:val="004D5311"/>
    <w:rsid w:val="004D5DCC"/>
    <w:rsid w:val="004E01A3"/>
    <w:rsid w:val="004E22AA"/>
    <w:rsid w:val="004E57F2"/>
    <w:rsid w:val="004F10AF"/>
    <w:rsid w:val="004F11A4"/>
    <w:rsid w:val="004F1471"/>
    <w:rsid w:val="004F2389"/>
    <w:rsid w:val="004F2979"/>
    <w:rsid w:val="004F304D"/>
    <w:rsid w:val="004F61BE"/>
    <w:rsid w:val="004F66B1"/>
    <w:rsid w:val="00501B2C"/>
    <w:rsid w:val="005029CE"/>
    <w:rsid w:val="00504F80"/>
    <w:rsid w:val="005064E3"/>
    <w:rsid w:val="00510057"/>
    <w:rsid w:val="00511C07"/>
    <w:rsid w:val="005173A6"/>
    <w:rsid w:val="00517CBE"/>
    <w:rsid w:val="00520396"/>
    <w:rsid w:val="00520BAA"/>
    <w:rsid w:val="00521880"/>
    <w:rsid w:val="00523A90"/>
    <w:rsid w:val="00525208"/>
    <w:rsid w:val="005257A5"/>
    <w:rsid w:val="005264C0"/>
    <w:rsid w:val="00526A8A"/>
    <w:rsid w:val="00531DF2"/>
    <w:rsid w:val="00533FB7"/>
    <w:rsid w:val="0053463E"/>
    <w:rsid w:val="005354BD"/>
    <w:rsid w:val="00541402"/>
    <w:rsid w:val="00541EA9"/>
    <w:rsid w:val="005442EE"/>
    <w:rsid w:val="00545041"/>
    <w:rsid w:val="00547353"/>
    <w:rsid w:val="005474E7"/>
    <w:rsid w:val="005512A3"/>
    <w:rsid w:val="00553E3F"/>
    <w:rsid w:val="005578CE"/>
    <w:rsid w:val="00560D67"/>
    <w:rsid w:val="00562781"/>
    <w:rsid w:val="0056662C"/>
    <w:rsid w:val="00566E67"/>
    <w:rsid w:val="005706C9"/>
    <w:rsid w:val="00570841"/>
    <w:rsid w:val="00571F13"/>
    <w:rsid w:val="0057271C"/>
    <w:rsid w:val="00572845"/>
    <w:rsid w:val="00574C83"/>
    <w:rsid w:val="00575241"/>
    <w:rsid w:val="0057667C"/>
    <w:rsid w:val="00581CAB"/>
    <w:rsid w:val="00584396"/>
    <w:rsid w:val="00592772"/>
    <w:rsid w:val="00593896"/>
    <w:rsid w:val="0059574A"/>
    <w:rsid w:val="00596468"/>
    <w:rsid w:val="005A02CB"/>
    <w:rsid w:val="005A1B9B"/>
    <w:rsid w:val="005A27FE"/>
    <w:rsid w:val="005A6751"/>
    <w:rsid w:val="005A681D"/>
    <w:rsid w:val="005B092E"/>
    <w:rsid w:val="005B152C"/>
    <w:rsid w:val="005B1EE0"/>
    <w:rsid w:val="005B2B24"/>
    <w:rsid w:val="005B4425"/>
    <w:rsid w:val="005B4B94"/>
    <w:rsid w:val="005B4E90"/>
    <w:rsid w:val="005C3EE8"/>
    <w:rsid w:val="005D0AED"/>
    <w:rsid w:val="005D34F9"/>
    <w:rsid w:val="005D4190"/>
    <w:rsid w:val="005D67A3"/>
    <w:rsid w:val="005E1FAA"/>
    <w:rsid w:val="005E2988"/>
    <w:rsid w:val="005E3033"/>
    <w:rsid w:val="005E3085"/>
    <w:rsid w:val="005E3331"/>
    <w:rsid w:val="005E3412"/>
    <w:rsid w:val="005E37C6"/>
    <w:rsid w:val="005F3A2F"/>
    <w:rsid w:val="005F4354"/>
    <w:rsid w:val="005F51E1"/>
    <w:rsid w:val="00601EAE"/>
    <w:rsid w:val="00601F13"/>
    <w:rsid w:val="00606EA1"/>
    <w:rsid w:val="00611C80"/>
    <w:rsid w:val="00615ED8"/>
    <w:rsid w:val="00617170"/>
    <w:rsid w:val="00617E0D"/>
    <w:rsid w:val="006204C4"/>
    <w:rsid w:val="00620692"/>
    <w:rsid w:val="00621D0B"/>
    <w:rsid w:val="0062244A"/>
    <w:rsid w:val="006242CA"/>
    <w:rsid w:val="00624804"/>
    <w:rsid w:val="00626226"/>
    <w:rsid w:val="00627507"/>
    <w:rsid w:val="00630599"/>
    <w:rsid w:val="00631DBA"/>
    <w:rsid w:val="00633717"/>
    <w:rsid w:val="006344E1"/>
    <w:rsid w:val="0063456B"/>
    <w:rsid w:val="00634DC1"/>
    <w:rsid w:val="00640D35"/>
    <w:rsid w:val="00646454"/>
    <w:rsid w:val="0065298D"/>
    <w:rsid w:val="006545C4"/>
    <w:rsid w:val="00661971"/>
    <w:rsid w:val="00661CE8"/>
    <w:rsid w:val="006623D9"/>
    <w:rsid w:val="00662BC5"/>
    <w:rsid w:val="00663AC7"/>
    <w:rsid w:val="00664BDF"/>
    <w:rsid w:val="0066550C"/>
    <w:rsid w:val="0066596A"/>
    <w:rsid w:val="00666806"/>
    <w:rsid w:val="00667B26"/>
    <w:rsid w:val="00667E3B"/>
    <w:rsid w:val="00667EFE"/>
    <w:rsid w:val="006701F8"/>
    <w:rsid w:val="0067083E"/>
    <w:rsid w:val="006716F2"/>
    <w:rsid w:val="006747DA"/>
    <w:rsid w:val="00682BF2"/>
    <w:rsid w:val="006859CE"/>
    <w:rsid w:val="00691270"/>
    <w:rsid w:val="00694A2E"/>
    <w:rsid w:val="00694BA8"/>
    <w:rsid w:val="0069694C"/>
    <w:rsid w:val="00696FA2"/>
    <w:rsid w:val="006A037C"/>
    <w:rsid w:val="006A3524"/>
    <w:rsid w:val="006A36F4"/>
    <w:rsid w:val="006A406F"/>
    <w:rsid w:val="006A5D3A"/>
    <w:rsid w:val="006B47DB"/>
    <w:rsid w:val="006B4FB5"/>
    <w:rsid w:val="006B55BF"/>
    <w:rsid w:val="006C18A0"/>
    <w:rsid w:val="006C1BCB"/>
    <w:rsid w:val="006C23D4"/>
    <w:rsid w:val="006C2EDA"/>
    <w:rsid w:val="006C64BE"/>
    <w:rsid w:val="006C7BB0"/>
    <w:rsid w:val="006C7BE4"/>
    <w:rsid w:val="006D3237"/>
    <w:rsid w:val="006D6C1F"/>
    <w:rsid w:val="006D7673"/>
    <w:rsid w:val="006D7BE2"/>
    <w:rsid w:val="006E102F"/>
    <w:rsid w:val="006E171A"/>
    <w:rsid w:val="006E2E37"/>
    <w:rsid w:val="006E3CF1"/>
    <w:rsid w:val="006E48F0"/>
    <w:rsid w:val="006E7E80"/>
    <w:rsid w:val="006F48CA"/>
    <w:rsid w:val="006F5711"/>
    <w:rsid w:val="006F6340"/>
    <w:rsid w:val="006F64DD"/>
    <w:rsid w:val="0070139F"/>
    <w:rsid w:val="00701F69"/>
    <w:rsid w:val="007066FD"/>
    <w:rsid w:val="007071F9"/>
    <w:rsid w:val="007072BC"/>
    <w:rsid w:val="00711B9F"/>
    <w:rsid w:val="00711D33"/>
    <w:rsid w:val="00715127"/>
    <w:rsid w:val="00715E8E"/>
    <w:rsid w:val="00723580"/>
    <w:rsid w:val="00723755"/>
    <w:rsid w:val="00725CA9"/>
    <w:rsid w:val="007270EE"/>
    <w:rsid w:val="00730701"/>
    <w:rsid w:val="0073136C"/>
    <w:rsid w:val="00731F0F"/>
    <w:rsid w:val="00733250"/>
    <w:rsid w:val="00741404"/>
    <w:rsid w:val="00741CDD"/>
    <w:rsid w:val="007449E5"/>
    <w:rsid w:val="007467EE"/>
    <w:rsid w:val="00747196"/>
    <w:rsid w:val="00747FF0"/>
    <w:rsid w:val="007513B3"/>
    <w:rsid w:val="00754129"/>
    <w:rsid w:val="0075612F"/>
    <w:rsid w:val="00762F52"/>
    <w:rsid w:val="00764D4E"/>
    <w:rsid w:val="00765A1F"/>
    <w:rsid w:val="00773FD7"/>
    <w:rsid w:val="0077492E"/>
    <w:rsid w:val="00775B6D"/>
    <w:rsid w:val="00776D68"/>
    <w:rsid w:val="0078280A"/>
    <w:rsid w:val="00782FCD"/>
    <w:rsid w:val="007850EE"/>
    <w:rsid w:val="00785543"/>
    <w:rsid w:val="00785B95"/>
    <w:rsid w:val="00790E96"/>
    <w:rsid w:val="00793366"/>
    <w:rsid w:val="007938D8"/>
    <w:rsid w:val="0079463C"/>
    <w:rsid w:val="0079510E"/>
    <w:rsid w:val="007952DA"/>
    <w:rsid w:val="00796867"/>
    <w:rsid w:val="007A0725"/>
    <w:rsid w:val="007A0805"/>
    <w:rsid w:val="007A51F7"/>
    <w:rsid w:val="007A6B24"/>
    <w:rsid w:val="007A716F"/>
    <w:rsid w:val="007B06C3"/>
    <w:rsid w:val="007B26CC"/>
    <w:rsid w:val="007B270A"/>
    <w:rsid w:val="007B4B56"/>
    <w:rsid w:val="007B6ECD"/>
    <w:rsid w:val="007B7FCF"/>
    <w:rsid w:val="007C0695"/>
    <w:rsid w:val="007C1C7F"/>
    <w:rsid w:val="007C419A"/>
    <w:rsid w:val="007C4CC8"/>
    <w:rsid w:val="007C5300"/>
    <w:rsid w:val="007C5426"/>
    <w:rsid w:val="007C5798"/>
    <w:rsid w:val="007D4832"/>
    <w:rsid w:val="007E21B2"/>
    <w:rsid w:val="007E2C4E"/>
    <w:rsid w:val="007E3ED4"/>
    <w:rsid w:val="007E475A"/>
    <w:rsid w:val="007E48C2"/>
    <w:rsid w:val="007E4C11"/>
    <w:rsid w:val="007E5FBE"/>
    <w:rsid w:val="007F0D8C"/>
    <w:rsid w:val="007F1905"/>
    <w:rsid w:val="007F3B4B"/>
    <w:rsid w:val="007F4F51"/>
    <w:rsid w:val="007F5524"/>
    <w:rsid w:val="008009A3"/>
    <w:rsid w:val="00801300"/>
    <w:rsid w:val="00802C64"/>
    <w:rsid w:val="00805E52"/>
    <w:rsid w:val="008061D0"/>
    <w:rsid w:val="00810B38"/>
    <w:rsid w:val="008204C7"/>
    <w:rsid w:val="00820992"/>
    <w:rsid w:val="00823602"/>
    <w:rsid w:val="008255F5"/>
    <w:rsid w:val="0082727E"/>
    <w:rsid w:val="0083014E"/>
    <w:rsid w:val="0083095A"/>
    <w:rsid w:val="0083214A"/>
    <w:rsid w:val="008323C4"/>
    <w:rsid w:val="00834220"/>
    <w:rsid w:val="008373D6"/>
    <w:rsid w:val="008407B4"/>
    <w:rsid w:val="008430A3"/>
    <w:rsid w:val="0084351A"/>
    <w:rsid w:val="008447FC"/>
    <w:rsid w:val="00844C8F"/>
    <w:rsid w:val="00845723"/>
    <w:rsid w:val="00851EF9"/>
    <w:rsid w:val="008577FD"/>
    <w:rsid w:val="00860B03"/>
    <w:rsid w:val="008628B6"/>
    <w:rsid w:val="00864079"/>
    <w:rsid w:val="0086497A"/>
    <w:rsid w:val="008666EF"/>
    <w:rsid w:val="008713A1"/>
    <w:rsid w:val="00872EEF"/>
    <w:rsid w:val="008737CD"/>
    <w:rsid w:val="008754AB"/>
    <w:rsid w:val="008755CA"/>
    <w:rsid w:val="00875AB3"/>
    <w:rsid w:val="008778A3"/>
    <w:rsid w:val="0088060C"/>
    <w:rsid w:val="008851E6"/>
    <w:rsid w:val="00892357"/>
    <w:rsid w:val="00893576"/>
    <w:rsid w:val="0089376B"/>
    <w:rsid w:val="00893E73"/>
    <w:rsid w:val="00897A38"/>
    <w:rsid w:val="008A7054"/>
    <w:rsid w:val="008A737C"/>
    <w:rsid w:val="008B02DC"/>
    <w:rsid w:val="008B2494"/>
    <w:rsid w:val="008B3B7C"/>
    <w:rsid w:val="008B57CE"/>
    <w:rsid w:val="008B62EF"/>
    <w:rsid w:val="008B77B8"/>
    <w:rsid w:val="008C26DE"/>
    <w:rsid w:val="008C2982"/>
    <w:rsid w:val="008C3AB6"/>
    <w:rsid w:val="008C5712"/>
    <w:rsid w:val="008D0479"/>
    <w:rsid w:val="008D2225"/>
    <w:rsid w:val="008D303C"/>
    <w:rsid w:val="008D4752"/>
    <w:rsid w:val="008D6453"/>
    <w:rsid w:val="008D7298"/>
    <w:rsid w:val="008D7A49"/>
    <w:rsid w:val="008E271C"/>
    <w:rsid w:val="008E418E"/>
    <w:rsid w:val="008E5BC6"/>
    <w:rsid w:val="008E6A25"/>
    <w:rsid w:val="008F3F8F"/>
    <w:rsid w:val="008F4DF2"/>
    <w:rsid w:val="008F5193"/>
    <w:rsid w:val="008F6C08"/>
    <w:rsid w:val="00900F5B"/>
    <w:rsid w:val="009013A7"/>
    <w:rsid w:val="009017FB"/>
    <w:rsid w:val="009017FC"/>
    <w:rsid w:val="00901DB7"/>
    <w:rsid w:val="00903A30"/>
    <w:rsid w:val="00903E4E"/>
    <w:rsid w:val="0090506B"/>
    <w:rsid w:val="009050C9"/>
    <w:rsid w:val="009066FC"/>
    <w:rsid w:val="00911979"/>
    <w:rsid w:val="00911E78"/>
    <w:rsid w:val="009140A3"/>
    <w:rsid w:val="009144A2"/>
    <w:rsid w:val="00914AD2"/>
    <w:rsid w:val="0091510C"/>
    <w:rsid w:val="00915286"/>
    <w:rsid w:val="009211F2"/>
    <w:rsid w:val="00924E00"/>
    <w:rsid w:val="009259AC"/>
    <w:rsid w:val="00926AD5"/>
    <w:rsid w:val="00926F38"/>
    <w:rsid w:val="00934301"/>
    <w:rsid w:val="00936C2D"/>
    <w:rsid w:val="00936CD1"/>
    <w:rsid w:val="00941747"/>
    <w:rsid w:val="00941EFB"/>
    <w:rsid w:val="009461A1"/>
    <w:rsid w:val="00947AFB"/>
    <w:rsid w:val="00950397"/>
    <w:rsid w:val="00951D7D"/>
    <w:rsid w:val="00953DDC"/>
    <w:rsid w:val="009563EC"/>
    <w:rsid w:val="00956F4C"/>
    <w:rsid w:val="009630C7"/>
    <w:rsid w:val="0096414A"/>
    <w:rsid w:val="00964BA1"/>
    <w:rsid w:val="00965311"/>
    <w:rsid w:val="00966E7D"/>
    <w:rsid w:val="009677B6"/>
    <w:rsid w:val="00971805"/>
    <w:rsid w:val="00972B55"/>
    <w:rsid w:val="009743B7"/>
    <w:rsid w:val="00976293"/>
    <w:rsid w:val="009776A2"/>
    <w:rsid w:val="0098228B"/>
    <w:rsid w:val="009828DA"/>
    <w:rsid w:val="00984443"/>
    <w:rsid w:val="00985BAB"/>
    <w:rsid w:val="00987A4A"/>
    <w:rsid w:val="009A16E2"/>
    <w:rsid w:val="009A185E"/>
    <w:rsid w:val="009A6C21"/>
    <w:rsid w:val="009B1B5F"/>
    <w:rsid w:val="009B6673"/>
    <w:rsid w:val="009C191B"/>
    <w:rsid w:val="009C1D54"/>
    <w:rsid w:val="009C1F1B"/>
    <w:rsid w:val="009C2BD6"/>
    <w:rsid w:val="009C33D1"/>
    <w:rsid w:val="009C4BD6"/>
    <w:rsid w:val="009C5881"/>
    <w:rsid w:val="009D16B0"/>
    <w:rsid w:val="009D1AEB"/>
    <w:rsid w:val="009E0F11"/>
    <w:rsid w:val="009E1336"/>
    <w:rsid w:val="009E1F32"/>
    <w:rsid w:val="009E27A6"/>
    <w:rsid w:val="009E2F79"/>
    <w:rsid w:val="009E776C"/>
    <w:rsid w:val="009E79F3"/>
    <w:rsid w:val="009F0EC8"/>
    <w:rsid w:val="00A00144"/>
    <w:rsid w:val="00A038AE"/>
    <w:rsid w:val="00A0695D"/>
    <w:rsid w:val="00A10429"/>
    <w:rsid w:val="00A10EC1"/>
    <w:rsid w:val="00A11627"/>
    <w:rsid w:val="00A156FE"/>
    <w:rsid w:val="00A1726E"/>
    <w:rsid w:val="00A204CF"/>
    <w:rsid w:val="00A22A07"/>
    <w:rsid w:val="00A23D49"/>
    <w:rsid w:val="00A25448"/>
    <w:rsid w:val="00A27004"/>
    <w:rsid w:val="00A30C29"/>
    <w:rsid w:val="00A31522"/>
    <w:rsid w:val="00A34DD6"/>
    <w:rsid w:val="00A36819"/>
    <w:rsid w:val="00A36989"/>
    <w:rsid w:val="00A376F2"/>
    <w:rsid w:val="00A43308"/>
    <w:rsid w:val="00A43628"/>
    <w:rsid w:val="00A45D8D"/>
    <w:rsid w:val="00A464AF"/>
    <w:rsid w:val="00A52F56"/>
    <w:rsid w:val="00A54192"/>
    <w:rsid w:val="00A56551"/>
    <w:rsid w:val="00A6035E"/>
    <w:rsid w:val="00A6144C"/>
    <w:rsid w:val="00A66617"/>
    <w:rsid w:val="00A671F8"/>
    <w:rsid w:val="00A673A4"/>
    <w:rsid w:val="00A67531"/>
    <w:rsid w:val="00A724AE"/>
    <w:rsid w:val="00A73329"/>
    <w:rsid w:val="00A74BC1"/>
    <w:rsid w:val="00A81772"/>
    <w:rsid w:val="00A82359"/>
    <w:rsid w:val="00A8486D"/>
    <w:rsid w:val="00A862E5"/>
    <w:rsid w:val="00A865D2"/>
    <w:rsid w:val="00A94C20"/>
    <w:rsid w:val="00AA1D34"/>
    <w:rsid w:val="00AA227F"/>
    <w:rsid w:val="00AA2F8F"/>
    <w:rsid w:val="00AA3685"/>
    <w:rsid w:val="00AA3BC7"/>
    <w:rsid w:val="00AA513A"/>
    <w:rsid w:val="00AA5E82"/>
    <w:rsid w:val="00AA754A"/>
    <w:rsid w:val="00AA755B"/>
    <w:rsid w:val="00AB099E"/>
    <w:rsid w:val="00AB410D"/>
    <w:rsid w:val="00AB4328"/>
    <w:rsid w:val="00AB53F1"/>
    <w:rsid w:val="00AB71BE"/>
    <w:rsid w:val="00AB7D62"/>
    <w:rsid w:val="00AC0140"/>
    <w:rsid w:val="00AC0824"/>
    <w:rsid w:val="00AC4EBF"/>
    <w:rsid w:val="00AD412E"/>
    <w:rsid w:val="00AE0A2E"/>
    <w:rsid w:val="00AE28C7"/>
    <w:rsid w:val="00AE354C"/>
    <w:rsid w:val="00AF296D"/>
    <w:rsid w:val="00AF345D"/>
    <w:rsid w:val="00AF4B07"/>
    <w:rsid w:val="00AF5CC8"/>
    <w:rsid w:val="00AF6186"/>
    <w:rsid w:val="00AF7A3A"/>
    <w:rsid w:val="00B1120E"/>
    <w:rsid w:val="00B11925"/>
    <w:rsid w:val="00B12998"/>
    <w:rsid w:val="00B1408F"/>
    <w:rsid w:val="00B15D3F"/>
    <w:rsid w:val="00B160DB"/>
    <w:rsid w:val="00B205B7"/>
    <w:rsid w:val="00B20836"/>
    <w:rsid w:val="00B210D7"/>
    <w:rsid w:val="00B235BB"/>
    <w:rsid w:val="00B236B1"/>
    <w:rsid w:val="00B23FF6"/>
    <w:rsid w:val="00B27A44"/>
    <w:rsid w:val="00B3010A"/>
    <w:rsid w:val="00B30BBF"/>
    <w:rsid w:val="00B33C03"/>
    <w:rsid w:val="00B44E56"/>
    <w:rsid w:val="00B45623"/>
    <w:rsid w:val="00B46543"/>
    <w:rsid w:val="00B47D33"/>
    <w:rsid w:val="00B506FE"/>
    <w:rsid w:val="00B52BE0"/>
    <w:rsid w:val="00B54133"/>
    <w:rsid w:val="00B701ED"/>
    <w:rsid w:val="00B7026D"/>
    <w:rsid w:val="00B70677"/>
    <w:rsid w:val="00B713AF"/>
    <w:rsid w:val="00B73992"/>
    <w:rsid w:val="00B757BA"/>
    <w:rsid w:val="00B77AB2"/>
    <w:rsid w:val="00B8086C"/>
    <w:rsid w:val="00B81CB8"/>
    <w:rsid w:val="00B852FA"/>
    <w:rsid w:val="00B85A04"/>
    <w:rsid w:val="00B861B4"/>
    <w:rsid w:val="00B86C36"/>
    <w:rsid w:val="00B86DFE"/>
    <w:rsid w:val="00B90990"/>
    <w:rsid w:val="00B91CEA"/>
    <w:rsid w:val="00B922FF"/>
    <w:rsid w:val="00B9281E"/>
    <w:rsid w:val="00B93925"/>
    <w:rsid w:val="00B93ECF"/>
    <w:rsid w:val="00B94BB8"/>
    <w:rsid w:val="00B95187"/>
    <w:rsid w:val="00B9776F"/>
    <w:rsid w:val="00BA2D55"/>
    <w:rsid w:val="00BA3113"/>
    <w:rsid w:val="00BA4E57"/>
    <w:rsid w:val="00BA71B1"/>
    <w:rsid w:val="00BB0637"/>
    <w:rsid w:val="00BB0D96"/>
    <w:rsid w:val="00BB345F"/>
    <w:rsid w:val="00BB449E"/>
    <w:rsid w:val="00BB68EA"/>
    <w:rsid w:val="00BB78FE"/>
    <w:rsid w:val="00BC1C27"/>
    <w:rsid w:val="00BC47F6"/>
    <w:rsid w:val="00BC4A8F"/>
    <w:rsid w:val="00BC4F7C"/>
    <w:rsid w:val="00BC6BBF"/>
    <w:rsid w:val="00BC763D"/>
    <w:rsid w:val="00BD0653"/>
    <w:rsid w:val="00BD1572"/>
    <w:rsid w:val="00BE14E3"/>
    <w:rsid w:val="00BE1A3E"/>
    <w:rsid w:val="00BE349A"/>
    <w:rsid w:val="00BE3774"/>
    <w:rsid w:val="00BE3E5B"/>
    <w:rsid w:val="00BE41E5"/>
    <w:rsid w:val="00BE6996"/>
    <w:rsid w:val="00BE7C51"/>
    <w:rsid w:val="00BF1559"/>
    <w:rsid w:val="00BF4109"/>
    <w:rsid w:val="00BF4CC3"/>
    <w:rsid w:val="00C0364A"/>
    <w:rsid w:val="00C054C7"/>
    <w:rsid w:val="00C057B5"/>
    <w:rsid w:val="00C05A0B"/>
    <w:rsid w:val="00C05BB1"/>
    <w:rsid w:val="00C05CAB"/>
    <w:rsid w:val="00C06E15"/>
    <w:rsid w:val="00C1262B"/>
    <w:rsid w:val="00C15098"/>
    <w:rsid w:val="00C222AC"/>
    <w:rsid w:val="00C22687"/>
    <w:rsid w:val="00C24185"/>
    <w:rsid w:val="00C2615E"/>
    <w:rsid w:val="00C32E4D"/>
    <w:rsid w:val="00C333A0"/>
    <w:rsid w:val="00C36408"/>
    <w:rsid w:val="00C36A81"/>
    <w:rsid w:val="00C37BC9"/>
    <w:rsid w:val="00C41528"/>
    <w:rsid w:val="00C41974"/>
    <w:rsid w:val="00C41EF0"/>
    <w:rsid w:val="00C5266C"/>
    <w:rsid w:val="00C53F4A"/>
    <w:rsid w:val="00C54125"/>
    <w:rsid w:val="00C55B54"/>
    <w:rsid w:val="00C6098E"/>
    <w:rsid w:val="00C611D8"/>
    <w:rsid w:val="00C6152C"/>
    <w:rsid w:val="00C63528"/>
    <w:rsid w:val="00C63990"/>
    <w:rsid w:val="00C64EF6"/>
    <w:rsid w:val="00C65050"/>
    <w:rsid w:val="00C67B38"/>
    <w:rsid w:val="00C74810"/>
    <w:rsid w:val="00C90681"/>
    <w:rsid w:val="00C90D68"/>
    <w:rsid w:val="00C91601"/>
    <w:rsid w:val="00C939FE"/>
    <w:rsid w:val="00C95C9B"/>
    <w:rsid w:val="00C95F81"/>
    <w:rsid w:val="00CA4BDA"/>
    <w:rsid w:val="00CB1F66"/>
    <w:rsid w:val="00CB2951"/>
    <w:rsid w:val="00CB328A"/>
    <w:rsid w:val="00CB7AEA"/>
    <w:rsid w:val="00CB7C39"/>
    <w:rsid w:val="00CC3FE5"/>
    <w:rsid w:val="00CC71E6"/>
    <w:rsid w:val="00CD16F8"/>
    <w:rsid w:val="00CD282B"/>
    <w:rsid w:val="00CD4C35"/>
    <w:rsid w:val="00CD5BEE"/>
    <w:rsid w:val="00CD7369"/>
    <w:rsid w:val="00CE0B0E"/>
    <w:rsid w:val="00CE15B7"/>
    <w:rsid w:val="00CE3831"/>
    <w:rsid w:val="00D00ABB"/>
    <w:rsid w:val="00D02978"/>
    <w:rsid w:val="00D02EEC"/>
    <w:rsid w:val="00D03551"/>
    <w:rsid w:val="00D05191"/>
    <w:rsid w:val="00D06A63"/>
    <w:rsid w:val="00D07E0E"/>
    <w:rsid w:val="00D10739"/>
    <w:rsid w:val="00D11478"/>
    <w:rsid w:val="00D13F50"/>
    <w:rsid w:val="00D15ED0"/>
    <w:rsid w:val="00D21461"/>
    <w:rsid w:val="00D21B3E"/>
    <w:rsid w:val="00D21FED"/>
    <w:rsid w:val="00D24251"/>
    <w:rsid w:val="00D250D7"/>
    <w:rsid w:val="00D26756"/>
    <w:rsid w:val="00D27D8C"/>
    <w:rsid w:val="00D343E2"/>
    <w:rsid w:val="00D35181"/>
    <w:rsid w:val="00D361A2"/>
    <w:rsid w:val="00D374F4"/>
    <w:rsid w:val="00D37C1F"/>
    <w:rsid w:val="00D41FD6"/>
    <w:rsid w:val="00D42AFF"/>
    <w:rsid w:val="00D43F28"/>
    <w:rsid w:val="00D44C2E"/>
    <w:rsid w:val="00D45414"/>
    <w:rsid w:val="00D47564"/>
    <w:rsid w:val="00D51AD4"/>
    <w:rsid w:val="00D52320"/>
    <w:rsid w:val="00D53129"/>
    <w:rsid w:val="00D532A1"/>
    <w:rsid w:val="00D566BD"/>
    <w:rsid w:val="00D576CF"/>
    <w:rsid w:val="00D57A4D"/>
    <w:rsid w:val="00D60AA7"/>
    <w:rsid w:val="00D6116D"/>
    <w:rsid w:val="00D6149F"/>
    <w:rsid w:val="00D62745"/>
    <w:rsid w:val="00D62B7F"/>
    <w:rsid w:val="00D6418E"/>
    <w:rsid w:val="00D6435F"/>
    <w:rsid w:val="00D70E54"/>
    <w:rsid w:val="00D7187A"/>
    <w:rsid w:val="00D75E28"/>
    <w:rsid w:val="00D75ECB"/>
    <w:rsid w:val="00D772C2"/>
    <w:rsid w:val="00D8008E"/>
    <w:rsid w:val="00D82C2D"/>
    <w:rsid w:val="00D82C45"/>
    <w:rsid w:val="00D83F79"/>
    <w:rsid w:val="00D908A8"/>
    <w:rsid w:val="00D912A1"/>
    <w:rsid w:val="00D934AF"/>
    <w:rsid w:val="00D93CA5"/>
    <w:rsid w:val="00D9420D"/>
    <w:rsid w:val="00D951B0"/>
    <w:rsid w:val="00D9521C"/>
    <w:rsid w:val="00D977B6"/>
    <w:rsid w:val="00DA4A31"/>
    <w:rsid w:val="00DA7B04"/>
    <w:rsid w:val="00DB36C2"/>
    <w:rsid w:val="00DB4875"/>
    <w:rsid w:val="00DC169B"/>
    <w:rsid w:val="00DC2AB9"/>
    <w:rsid w:val="00DC3C31"/>
    <w:rsid w:val="00DC63F0"/>
    <w:rsid w:val="00DC7E07"/>
    <w:rsid w:val="00DD3FAA"/>
    <w:rsid w:val="00DD4AAB"/>
    <w:rsid w:val="00DD5146"/>
    <w:rsid w:val="00DD612A"/>
    <w:rsid w:val="00DD6EE5"/>
    <w:rsid w:val="00DE386C"/>
    <w:rsid w:val="00DE44D1"/>
    <w:rsid w:val="00DE4D35"/>
    <w:rsid w:val="00DE572F"/>
    <w:rsid w:val="00DE63F8"/>
    <w:rsid w:val="00DF098B"/>
    <w:rsid w:val="00DF11C4"/>
    <w:rsid w:val="00DF210C"/>
    <w:rsid w:val="00DF4970"/>
    <w:rsid w:val="00DF4B6A"/>
    <w:rsid w:val="00DF500F"/>
    <w:rsid w:val="00E01E65"/>
    <w:rsid w:val="00E02B70"/>
    <w:rsid w:val="00E02C09"/>
    <w:rsid w:val="00E04D59"/>
    <w:rsid w:val="00E0662E"/>
    <w:rsid w:val="00E07DA1"/>
    <w:rsid w:val="00E123CB"/>
    <w:rsid w:val="00E177B5"/>
    <w:rsid w:val="00E20E13"/>
    <w:rsid w:val="00E21DBC"/>
    <w:rsid w:val="00E275D7"/>
    <w:rsid w:val="00E27DBE"/>
    <w:rsid w:val="00E31471"/>
    <w:rsid w:val="00E32AB1"/>
    <w:rsid w:val="00E334A3"/>
    <w:rsid w:val="00E36C71"/>
    <w:rsid w:val="00E373F5"/>
    <w:rsid w:val="00E37C32"/>
    <w:rsid w:val="00E40404"/>
    <w:rsid w:val="00E40595"/>
    <w:rsid w:val="00E44752"/>
    <w:rsid w:val="00E4529A"/>
    <w:rsid w:val="00E459C6"/>
    <w:rsid w:val="00E47589"/>
    <w:rsid w:val="00E51EAB"/>
    <w:rsid w:val="00E56B0A"/>
    <w:rsid w:val="00E62839"/>
    <w:rsid w:val="00E64915"/>
    <w:rsid w:val="00E661D4"/>
    <w:rsid w:val="00E67B1D"/>
    <w:rsid w:val="00E70091"/>
    <w:rsid w:val="00E70DAE"/>
    <w:rsid w:val="00E720F5"/>
    <w:rsid w:val="00E7288B"/>
    <w:rsid w:val="00E74E23"/>
    <w:rsid w:val="00E753B7"/>
    <w:rsid w:val="00E75C12"/>
    <w:rsid w:val="00E76D47"/>
    <w:rsid w:val="00E77642"/>
    <w:rsid w:val="00E77CB3"/>
    <w:rsid w:val="00E8034A"/>
    <w:rsid w:val="00E80A94"/>
    <w:rsid w:val="00E849F7"/>
    <w:rsid w:val="00E857AA"/>
    <w:rsid w:val="00E90302"/>
    <w:rsid w:val="00E91D9C"/>
    <w:rsid w:val="00E921B0"/>
    <w:rsid w:val="00E961E9"/>
    <w:rsid w:val="00E97396"/>
    <w:rsid w:val="00EA185E"/>
    <w:rsid w:val="00EA26E7"/>
    <w:rsid w:val="00EA3544"/>
    <w:rsid w:val="00EA592A"/>
    <w:rsid w:val="00EB14E4"/>
    <w:rsid w:val="00EB2255"/>
    <w:rsid w:val="00EB32A5"/>
    <w:rsid w:val="00EB34ED"/>
    <w:rsid w:val="00EB7BE0"/>
    <w:rsid w:val="00EB7E63"/>
    <w:rsid w:val="00EC0C75"/>
    <w:rsid w:val="00EC315E"/>
    <w:rsid w:val="00EC74F3"/>
    <w:rsid w:val="00ED077C"/>
    <w:rsid w:val="00ED1190"/>
    <w:rsid w:val="00ED390D"/>
    <w:rsid w:val="00ED3C3E"/>
    <w:rsid w:val="00ED6544"/>
    <w:rsid w:val="00ED73A2"/>
    <w:rsid w:val="00EE0277"/>
    <w:rsid w:val="00EE1969"/>
    <w:rsid w:val="00EE3E00"/>
    <w:rsid w:val="00EE407D"/>
    <w:rsid w:val="00EE427E"/>
    <w:rsid w:val="00EE5DD2"/>
    <w:rsid w:val="00EE76FA"/>
    <w:rsid w:val="00EE7C19"/>
    <w:rsid w:val="00EF0A2E"/>
    <w:rsid w:val="00EF0D11"/>
    <w:rsid w:val="00EF0E0E"/>
    <w:rsid w:val="00EF4464"/>
    <w:rsid w:val="00EF461B"/>
    <w:rsid w:val="00EF63C2"/>
    <w:rsid w:val="00EF66E1"/>
    <w:rsid w:val="00EF7036"/>
    <w:rsid w:val="00F00A79"/>
    <w:rsid w:val="00F00E86"/>
    <w:rsid w:val="00F02776"/>
    <w:rsid w:val="00F05F3A"/>
    <w:rsid w:val="00F06BB4"/>
    <w:rsid w:val="00F06F6E"/>
    <w:rsid w:val="00F07C1E"/>
    <w:rsid w:val="00F105DB"/>
    <w:rsid w:val="00F132BC"/>
    <w:rsid w:val="00F1346A"/>
    <w:rsid w:val="00F13D80"/>
    <w:rsid w:val="00F140EE"/>
    <w:rsid w:val="00F14A38"/>
    <w:rsid w:val="00F16AAA"/>
    <w:rsid w:val="00F2043E"/>
    <w:rsid w:val="00F21161"/>
    <w:rsid w:val="00F218EF"/>
    <w:rsid w:val="00F21BC7"/>
    <w:rsid w:val="00F21D26"/>
    <w:rsid w:val="00F266A2"/>
    <w:rsid w:val="00F32269"/>
    <w:rsid w:val="00F32387"/>
    <w:rsid w:val="00F35117"/>
    <w:rsid w:val="00F37558"/>
    <w:rsid w:val="00F4097A"/>
    <w:rsid w:val="00F40B7D"/>
    <w:rsid w:val="00F433CB"/>
    <w:rsid w:val="00F43AFD"/>
    <w:rsid w:val="00F4546C"/>
    <w:rsid w:val="00F539C1"/>
    <w:rsid w:val="00F53C6B"/>
    <w:rsid w:val="00F56A6F"/>
    <w:rsid w:val="00F5709C"/>
    <w:rsid w:val="00F5712D"/>
    <w:rsid w:val="00F6044F"/>
    <w:rsid w:val="00F605E2"/>
    <w:rsid w:val="00F61FE4"/>
    <w:rsid w:val="00F64EF1"/>
    <w:rsid w:val="00F65151"/>
    <w:rsid w:val="00F6669B"/>
    <w:rsid w:val="00F7029A"/>
    <w:rsid w:val="00F75891"/>
    <w:rsid w:val="00F83CE1"/>
    <w:rsid w:val="00F86CF3"/>
    <w:rsid w:val="00F8765F"/>
    <w:rsid w:val="00F8794E"/>
    <w:rsid w:val="00F90767"/>
    <w:rsid w:val="00F96B09"/>
    <w:rsid w:val="00FA1201"/>
    <w:rsid w:val="00FA3C96"/>
    <w:rsid w:val="00FA685B"/>
    <w:rsid w:val="00FB0369"/>
    <w:rsid w:val="00FB08BA"/>
    <w:rsid w:val="00FB0C01"/>
    <w:rsid w:val="00FB2B45"/>
    <w:rsid w:val="00FB4C43"/>
    <w:rsid w:val="00FC0348"/>
    <w:rsid w:val="00FC18F2"/>
    <w:rsid w:val="00FC39E5"/>
    <w:rsid w:val="00FC3A78"/>
    <w:rsid w:val="00FC6E84"/>
    <w:rsid w:val="00FD018E"/>
    <w:rsid w:val="00FD1005"/>
    <w:rsid w:val="00FD1AD7"/>
    <w:rsid w:val="00FD4672"/>
    <w:rsid w:val="00FD6C75"/>
    <w:rsid w:val="00FE71B3"/>
    <w:rsid w:val="00FF245F"/>
    <w:rsid w:val="00FF42C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031347"/>
    <w:pPr>
      <w:jc w:val="both"/>
    </w:pPr>
    <w:rPr>
      <w:rFonts w:eastAsiaTheme="minorEastAsia"/>
      <w:sz w:val="24"/>
    </w:rPr>
  </w:style>
  <w:style w:type="paragraph" w:styleId="Titolo1">
    <w:name w:val="heading 1"/>
    <w:basedOn w:val="Normale"/>
    <w:next w:val="Normale"/>
    <w:link w:val="Titolo1Carattere"/>
    <w:uiPriority w:val="99"/>
    <w:semiHidden/>
    <w:rsid w:val="00031347"/>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031347"/>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031347"/>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031347"/>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352187"/>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031347"/>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352187"/>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352187"/>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352187"/>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03134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31347"/>
    <w:rPr>
      <w:rFonts w:ascii="Tahoma" w:eastAsiaTheme="minorEastAsia" w:hAnsi="Tahoma" w:cs="Tahoma"/>
      <w:sz w:val="16"/>
      <w:szCs w:val="16"/>
    </w:rPr>
  </w:style>
  <w:style w:type="character" w:styleId="Titolodellibro">
    <w:name w:val="Book Title"/>
    <w:uiPriority w:val="99"/>
    <w:semiHidden/>
    <w:qFormat/>
    <w:rsid w:val="00352187"/>
    <w:rPr>
      <w:i/>
      <w:iCs/>
      <w:smallCaps/>
      <w:spacing w:val="5"/>
    </w:rPr>
  </w:style>
  <w:style w:type="paragraph" w:customStyle="1" w:styleId="ECHRHeader">
    <w:name w:val="ECHR_Header"/>
    <w:aliases w:val="Ju_Header"/>
    <w:basedOn w:val="Intestazione"/>
    <w:uiPriority w:val="4"/>
    <w:qFormat/>
    <w:rsid w:val="00352187"/>
    <w:pPr>
      <w:tabs>
        <w:tab w:val="clear" w:pos="4536"/>
        <w:tab w:val="clear" w:pos="9072"/>
        <w:tab w:val="center" w:pos="3686"/>
        <w:tab w:val="right" w:pos="7371"/>
      </w:tabs>
      <w:jc w:val="left"/>
    </w:pPr>
    <w:rPr>
      <w:sz w:val="18"/>
      <w:lang w:val="en-GB"/>
    </w:rPr>
  </w:style>
  <w:style w:type="paragraph" w:customStyle="1" w:styleId="ECHRFooter">
    <w:name w:val="ECHR_Footer"/>
    <w:aliases w:val="Footer_ECHR"/>
    <w:basedOn w:val="Pidipagina"/>
    <w:uiPriority w:val="57"/>
    <w:semiHidden/>
    <w:rsid w:val="00031347"/>
    <w:pPr>
      <w:jc w:val="left"/>
    </w:pPr>
    <w:rPr>
      <w:sz w:val="8"/>
    </w:rPr>
  </w:style>
  <w:style w:type="character" w:styleId="Enfasigrassetto">
    <w:name w:val="Strong"/>
    <w:uiPriority w:val="99"/>
    <w:semiHidden/>
    <w:qFormat/>
    <w:rsid w:val="00352187"/>
    <w:rPr>
      <w:b/>
      <w:bCs/>
    </w:rPr>
  </w:style>
  <w:style w:type="paragraph" w:styleId="Nessunaspaziatura">
    <w:name w:val="No Spacing"/>
    <w:basedOn w:val="Normale"/>
    <w:link w:val="NessunaspaziaturaCarattere"/>
    <w:semiHidden/>
    <w:qFormat/>
    <w:rsid w:val="00352187"/>
    <w:rPr>
      <w:sz w:val="22"/>
    </w:rPr>
  </w:style>
  <w:style w:type="character" w:customStyle="1" w:styleId="NessunaspaziaturaCarattere">
    <w:name w:val="Nessuna spaziatura Carattere"/>
    <w:basedOn w:val="Carpredefinitoparagrafo"/>
    <w:link w:val="Nessunaspaziatura"/>
    <w:semiHidden/>
    <w:rsid w:val="00352187"/>
    <w:rPr>
      <w:rFonts w:eastAsiaTheme="minorEastAsia"/>
    </w:rPr>
  </w:style>
  <w:style w:type="paragraph" w:customStyle="1" w:styleId="ECHRFooterLine">
    <w:name w:val="ECHR_Footer_Line"/>
    <w:aliases w:val="Footer_Line"/>
    <w:basedOn w:val="Normale"/>
    <w:next w:val="ECHRFooter"/>
    <w:uiPriority w:val="57"/>
    <w:semiHidden/>
    <w:rsid w:val="00031347"/>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e"/>
    <w:uiPriority w:val="5"/>
    <w:semiHidden/>
    <w:qFormat/>
    <w:rsid w:val="00352187"/>
    <w:pPr>
      <w:numPr>
        <w:numId w:val="23"/>
      </w:numPr>
      <w:jc w:val="left"/>
    </w:pPr>
    <w:rPr>
      <w:b/>
      <w:lang w:val="en-GB"/>
    </w:rPr>
  </w:style>
  <w:style w:type="paragraph" w:customStyle="1" w:styleId="OpiPara">
    <w:name w:val="Opi_Para"/>
    <w:basedOn w:val="ECHRPara"/>
    <w:uiPriority w:val="46"/>
    <w:qFormat/>
    <w:rsid w:val="00352187"/>
  </w:style>
  <w:style w:type="paragraph" w:customStyle="1" w:styleId="JuParaSub">
    <w:name w:val="Ju_Para_Sub"/>
    <w:basedOn w:val="ECHRPara"/>
    <w:uiPriority w:val="13"/>
    <w:qFormat/>
    <w:rsid w:val="00352187"/>
    <w:pPr>
      <w:ind w:left="284"/>
    </w:pPr>
  </w:style>
  <w:style w:type="paragraph" w:customStyle="1" w:styleId="ECHRTitleCentre3">
    <w:name w:val="ECHR_Title_Centre_3"/>
    <w:aliases w:val="Ju_H_Article"/>
    <w:basedOn w:val="Normale"/>
    <w:next w:val="ECHRParaQuote"/>
    <w:uiPriority w:val="27"/>
    <w:qFormat/>
    <w:rsid w:val="00352187"/>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Normale"/>
    <w:next w:val="OpiPara"/>
    <w:uiPriority w:val="39"/>
    <w:qFormat/>
    <w:rsid w:val="00352187"/>
    <w:pPr>
      <w:keepNext/>
      <w:keepLines/>
      <w:spacing w:after="240"/>
      <w:jc w:val="center"/>
      <w:outlineLvl w:val="0"/>
    </w:pPr>
    <w:rPr>
      <w:rFonts w:asciiTheme="majorHAnsi" w:hAnsiTheme="majorHAnsi"/>
      <w:sz w:val="28"/>
      <w:lang w:val="en-GB"/>
    </w:rPr>
  </w:style>
  <w:style w:type="paragraph" w:customStyle="1" w:styleId="OpiParaSub">
    <w:name w:val="Opi_Para_Sub"/>
    <w:basedOn w:val="JuParaSub"/>
    <w:uiPriority w:val="47"/>
    <w:qFormat/>
    <w:rsid w:val="00352187"/>
  </w:style>
  <w:style w:type="paragraph" w:customStyle="1" w:styleId="OpiQuot">
    <w:name w:val="Opi_Quot"/>
    <w:basedOn w:val="ECHRParaQuote"/>
    <w:uiPriority w:val="48"/>
    <w:qFormat/>
    <w:rsid w:val="00352187"/>
  </w:style>
  <w:style w:type="paragraph" w:customStyle="1" w:styleId="OpiQuotSub">
    <w:name w:val="Opi_Quot_Sub"/>
    <w:basedOn w:val="JuQuotSub"/>
    <w:uiPriority w:val="49"/>
    <w:qFormat/>
    <w:rsid w:val="00352187"/>
  </w:style>
  <w:style w:type="paragraph" w:customStyle="1" w:styleId="ECHRTitleCentre2">
    <w:name w:val="ECHR_Title_Centre_2"/>
    <w:aliases w:val="Dec_H_Case"/>
    <w:basedOn w:val="Normale"/>
    <w:next w:val="ECHRPara"/>
    <w:uiPriority w:val="8"/>
    <w:qFormat/>
    <w:rsid w:val="00352187"/>
    <w:pPr>
      <w:spacing w:after="240"/>
      <w:jc w:val="center"/>
      <w:outlineLvl w:val="0"/>
    </w:pPr>
    <w:rPr>
      <w:rFonts w:asciiTheme="majorHAnsi" w:hAnsiTheme="majorHAnsi"/>
      <w:lang w:val="en-GB"/>
    </w:rPr>
  </w:style>
  <w:style w:type="paragraph" w:customStyle="1" w:styleId="JuTitle">
    <w:name w:val="Ju_Title"/>
    <w:basedOn w:val="Normale"/>
    <w:next w:val="ECHRPara"/>
    <w:uiPriority w:val="3"/>
    <w:semiHidden/>
    <w:qFormat/>
    <w:rsid w:val="00352187"/>
    <w:pPr>
      <w:spacing w:before="720" w:after="240"/>
      <w:jc w:val="center"/>
      <w:outlineLvl w:val="0"/>
    </w:pPr>
    <w:rPr>
      <w:rFonts w:asciiTheme="majorHAnsi" w:hAnsiTheme="majorHAnsi"/>
      <w:b/>
      <w:caps/>
      <w:lang w:val="en-GB"/>
    </w:rPr>
  </w:style>
  <w:style w:type="paragraph" w:styleId="Titolo">
    <w:name w:val="Title"/>
    <w:basedOn w:val="Normale"/>
    <w:next w:val="Normale"/>
    <w:link w:val="TitoloCarattere"/>
    <w:uiPriority w:val="99"/>
    <w:semiHidden/>
    <w:qFormat/>
    <w:rsid w:val="00352187"/>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352187"/>
    <w:rPr>
      <w:rFonts w:asciiTheme="majorHAnsi" w:eastAsiaTheme="majorEastAsia" w:hAnsiTheme="majorHAnsi" w:cstheme="majorBidi"/>
      <w:spacing w:val="5"/>
      <w:sz w:val="52"/>
      <w:szCs w:val="52"/>
      <w:lang w:bidi="en-US"/>
    </w:rPr>
  </w:style>
  <w:style w:type="paragraph" w:customStyle="1" w:styleId="ECHRHeading3">
    <w:name w:val="ECHR_Heading_3"/>
    <w:aliases w:val="Ju_H_1."/>
    <w:basedOn w:val="Titolo3"/>
    <w:next w:val="ECHRPara"/>
    <w:uiPriority w:val="21"/>
    <w:qFormat/>
    <w:rsid w:val="00352187"/>
    <w:pPr>
      <w:keepNext/>
      <w:keepLines/>
      <w:tabs>
        <w:tab w:val="left" w:pos="731"/>
      </w:tabs>
      <w:spacing w:before="240" w:after="120" w:line="240" w:lineRule="auto"/>
      <w:ind w:left="732" w:hanging="301"/>
    </w:pPr>
    <w:rPr>
      <w:b w:val="0"/>
      <w:i/>
      <w:color w:val="auto"/>
      <w:lang w:val="en-GB"/>
    </w:rPr>
  </w:style>
  <w:style w:type="paragraph" w:customStyle="1" w:styleId="ECHRHeading4">
    <w:name w:val="ECHR_Heading_4"/>
    <w:aliases w:val="Ju_H_a"/>
    <w:basedOn w:val="Titolo4"/>
    <w:next w:val="ECHRPara"/>
    <w:uiPriority w:val="22"/>
    <w:qFormat/>
    <w:rsid w:val="00352187"/>
    <w:pPr>
      <w:keepNext/>
      <w:keepLines/>
      <w:tabs>
        <w:tab w:val="left" w:pos="975"/>
      </w:tabs>
      <w:spacing w:before="240" w:after="120"/>
      <w:ind w:left="975" w:hanging="340"/>
    </w:pPr>
    <w:rPr>
      <w:i w:val="0"/>
      <w:color w:val="auto"/>
      <w:sz w:val="20"/>
      <w:lang w:val="en-GB"/>
    </w:rPr>
  </w:style>
  <w:style w:type="paragraph" w:customStyle="1" w:styleId="ECHRHeading5">
    <w:name w:val="ECHR_Heading_5"/>
    <w:aliases w:val="Ju_H_i"/>
    <w:basedOn w:val="Titolo5"/>
    <w:next w:val="ECHRPara"/>
    <w:uiPriority w:val="23"/>
    <w:qFormat/>
    <w:rsid w:val="00352187"/>
    <w:pPr>
      <w:keepNext/>
      <w:keepLines/>
      <w:tabs>
        <w:tab w:val="left" w:pos="1191"/>
      </w:tabs>
      <w:spacing w:before="240" w:after="120"/>
      <w:ind w:left="1190" w:hanging="357"/>
    </w:pPr>
    <w:rPr>
      <w:b w:val="0"/>
      <w:i/>
      <w:color w:val="auto"/>
      <w:sz w:val="20"/>
      <w:lang w:val="en-GB"/>
    </w:rPr>
  </w:style>
  <w:style w:type="paragraph" w:customStyle="1" w:styleId="ECHRHeading6">
    <w:name w:val="ECHR_Heading_6"/>
    <w:aliases w:val="Ju_H_alpha"/>
    <w:basedOn w:val="Titolo6"/>
    <w:next w:val="ECHRPara"/>
    <w:uiPriority w:val="24"/>
    <w:qFormat/>
    <w:rsid w:val="00352187"/>
    <w:pPr>
      <w:keepNext/>
      <w:keepLines/>
      <w:tabs>
        <w:tab w:val="left" w:pos="1372"/>
      </w:tabs>
      <w:spacing w:before="240" w:after="120" w:line="240" w:lineRule="auto"/>
      <w:ind w:left="1373" w:hanging="335"/>
    </w:pPr>
    <w:rPr>
      <w:b w:val="0"/>
      <w:i w:val="0"/>
      <w:color w:val="auto"/>
      <w:sz w:val="20"/>
      <w:lang w:val="en-GB"/>
    </w:rPr>
  </w:style>
  <w:style w:type="paragraph" w:customStyle="1" w:styleId="ECHRHeading7">
    <w:name w:val="ECHR_Heading_7"/>
    <w:aliases w:val="Ju_H_–"/>
    <w:basedOn w:val="Titolo7"/>
    <w:next w:val="ECHRPara"/>
    <w:uiPriority w:val="25"/>
    <w:qFormat/>
    <w:rsid w:val="00352187"/>
    <w:pPr>
      <w:keepNext/>
      <w:keepLines/>
      <w:spacing w:before="240" w:after="120"/>
      <w:ind w:left="1236"/>
    </w:pPr>
    <w:rPr>
      <w:sz w:val="20"/>
      <w:lang w:val="en-GB"/>
    </w:rPr>
  </w:style>
  <w:style w:type="paragraph" w:customStyle="1" w:styleId="JuQuotSub">
    <w:name w:val="Ju_Quot_Sub"/>
    <w:basedOn w:val="ECHRParaQuote"/>
    <w:uiPriority w:val="15"/>
    <w:qFormat/>
    <w:rsid w:val="00352187"/>
    <w:pPr>
      <w:ind w:left="567"/>
    </w:pPr>
  </w:style>
  <w:style w:type="paragraph" w:customStyle="1" w:styleId="JuInitialled">
    <w:name w:val="Ju_Initialled"/>
    <w:basedOn w:val="Normale"/>
    <w:uiPriority w:val="31"/>
    <w:qFormat/>
    <w:rsid w:val="00352187"/>
    <w:pPr>
      <w:tabs>
        <w:tab w:val="center" w:pos="6407"/>
      </w:tabs>
      <w:spacing w:before="720"/>
      <w:jc w:val="right"/>
    </w:pPr>
    <w:rPr>
      <w:lang w:val="en-GB"/>
    </w:rPr>
  </w:style>
  <w:style w:type="paragraph" w:customStyle="1" w:styleId="OpiHA">
    <w:name w:val="Opi_H_A"/>
    <w:basedOn w:val="ECHRHeading1"/>
    <w:next w:val="OpiPara"/>
    <w:uiPriority w:val="41"/>
    <w:qFormat/>
    <w:rsid w:val="00352187"/>
    <w:pPr>
      <w:tabs>
        <w:tab w:val="clear" w:pos="357"/>
      </w:tabs>
      <w:outlineLvl w:val="1"/>
    </w:pPr>
    <w:rPr>
      <w:b/>
    </w:rPr>
  </w:style>
  <w:style w:type="paragraph" w:styleId="Intestazione">
    <w:name w:val="header"/>
    <w:basedOn w:val="Normale"/>
    <w:link w:val="IntestazioneCarattere"/>
    <w:uiPriority w:val="57"/>
    <w:semiHidden/>
    <w:rsid w:val="00031347"/>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031347"/>
    <w:rPr>
      <w:sz w:val="24"/>
    </w:rPr>
  </w:style>
  <w:style w:type="character" w:customStyle="1" w:styleId="Titolo1Carattere">
    <w:name w:val="Titolo 1 Carattere"/>
    <w:basedOn w:val="Carpredefinitoparagrafo"/>
    <w:link w:val="Titolo1"/>
    <w:uiPriority w:val="99"/>
    <w:semiHidden/>
    <w:rsid w:val="00031347"/>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Titolo1"/>
    <w:next w:val="ECHRPara"/>
    <w:uiPriority w:val="19"/>
    <w:qFormat/>
    <w:rsid w:val="00352187"/>
    <w:pPr>
      <w:keepNext/>
      <w:keepLines/>
      <w:tabs>
        <w:tab w:val="left" w:pos="357"/>
      </w:tabs>
      <w:spacing w:before="360" w:after="240"/>
      <w:ind w:left="357" w:hanging="357"/>
      <w:contextualSpacing w:val="0"/>
    </w:pPr>
    <w:rPr>
      <w:b w:val="0"/>
      <w:color w:val="auto"/>
      <w:sz w:val="24"/>
      <w:lang w:val="en-GB"/>
    </w:rPr>
  </w:style>
  <w:style w:type="paragraph" w:customStyle="1" w:styleId="ECHRHeading2">
    <w:name w:val="ECHR_Heading_2"/>
    <w:aliases w:val="Ju_H_A"/>
    <w:basedOn w:val="Titolo2"/>
    <w:next w:val="ECHRPara"/>
    <w:uiPriority w:val="20"/>
    <w:qFormat/>
    <w:rsid w:val="00352187"/>
    <w:pPr>
      <w:keepNext/>
      <w:keepLines/>
      <w:tabs>
        <w:tab w:val="left" w:pos="584"/>
      </w:tabs>
      <w:spacing w:before="360" w:after="240"/>
      <w:ind w:left="584" w:hanging="352"/>
    </w:pPr>
    <w:rPr>
      <w:color w:val="auto"/>
      <w:sz w:val="24"/>
      <w:lang w:val="en-GB"/>
    </w:rPr>
  </w:style>
  <w:style w:type="character" w:customStyle="1" w:styleId="Titolo2Carattere">
    <w:name w:val="Titolo 2 Carattere"/>
    <w:basedOn w:val="Carpredefinitoparagrafo"/>
    <w:link w:val="Titolo2"/>
    <w:uiPriority w:val="99"/>
    <w:semiHidden/>
    <w:rsid w:val="00031347"/>
    <w:rPr>
      <w:rFonts w:asciiTheme="majorHAnsi" w:eastAsiaTheme="majorEastAsia" w:hAnsiTheme="majorHAnsi" w:cstheme="majorBidi"/>
      <w:b/>
      <w:bCs/>
      <w:color w:val="4D4D4D"/>
      <w:sz w:val="26"/>
      <w:szCs w:val="26"/>
    </w:rPr>
  </w:style>
  <w:style w:type="character" w:customStyle="1" w:styleId="JUNAMES">
    <w:name w:val="JU_NAMES"/>
    <w:uiPriority w:val="17"/>
    <w:qFormat/>
    <w:rsid w:val="00352187"/>
    <w:rPr>
      <w:caps w:val="0"/>
      <w:smallCaps/>
    </w:rPr>
  </w:style>
  <w:style w:type="paragraph" w:customStyle="1" w:styleId="ECHRDecisionBody">
    <w:name w:val="ECHR_Decision_Body"/>
    <w:aliases w:val="Ju_Judges"/>
    <w:basedOn w:val="Normale"/>
    <w:uiPriority w:val="11"/>
    <w:qFormat/>
    <w:rsid w:val="00352187"/>
    <w:pPr>
      <w:tabs>
        <w:tab w:val="left" w:pos="567"/>
        <w:tab w:val="left" w:pos="1134"/>
      </w:tabs>
      <w:jc w:val="left"/>
    </w:pPr>
    <w:rPr>
      <w:lang w:val="en-GB"/>
    </w:rPr>
  </w:style>
  <w:style w:type="character" w:customStyle="1" w:styleId="Titolo3Carattere">
    <w:name w:val="Titolo 3 Carattere"/>
    <w:basedOn w:val="Carpredefinitoparagrafo"/>
    <w:link w:val="Titolo3"/>
    <w:uiPriority w:val="99"/>
    <w:semiHidden/>
    <w:rsid w:val="00031347"/>
    <w:rPr>
      <w:rFonts w:asciiTheme="majorHAnsi" w:eastAsiaTheme="majorEastAsia" w:hAnsiTheme="majorHAnsi" w:cstheme="majorBidi"/>
      <w:b/>
      <w:bCs/>
      <w:color w:val="5F5F5F"/>
      <w:sz w:val="24"/>
    </w:rPr>
  </w:style>
  <w:style w:type="paragraph" w:customStyle="1" w:styleId="ECHRPara">
    <w:name w:val="ECHR_Para"/>
    <w:aliases w:val="Ju_Para,Para"/>
    <w:basedOn w:val="Normale"/>
    <w:link w:val="JuParaCar"/>
    <w:uiPriority w:val="12"/>
    <w:qFormat/>
    <w:rsid w:val="00352187"/>
    <w:pPr>
      <w:ind w:firstLine="284"/>
    </w:pPr>
    <w:rPr>
      <w:lang w:val="en-GB"/>
    </w:rPr>
  </w:style>
  <w:style w:type="character" w:customStyle="1" w:styleId="Titolo4Carattere">
    <w:name w:val="Titolo 4 Carattere"/>
    <w:basedOn w:val="Carpredefinitoparagrafo"/>
    <w:link w:val="Titolo4"/>
    <w:uiPriority w:val="99"/>
    <w:semiHidden/>
    <w:rsid w:val="00031347"/>
    <w:rPr>
      <w:rFonts w:asciiTheme="majorHAnsi" w:eastAsiaTheme="majorEastAsia" w:hAnsiTheme="majorHAnsi" w:cstheme="majorBidi"/>
      <w:b/>
      <w:bCs/>
      <w:i/>
      <w:iCs/>
      <w:color w:val="777777"/>
      <w:sz w:val="24"/>
    </w:rPr>
  </w:style>
  <w:style w:type="character" w:customStyle="1" w:styleId="Titolo5Carattere">
    <w:name w:val="Titolo 5 Carattere"/>
    <w:basedOn w:val="Carpredefinitoparagrafo"/>
    <w:link w:val="Titolo5"/>
    <w:uiPriority w:val="99"/>
    <w:semiHidden/>
    <w:rsid w:val="00352187"/>
    <w:rPr>
      <w:rFonts w:asciiTheme="majorHAnsi" w:eastAsiaTheme="majorEastAsia" w:hAnsiTheme="majorHAnsi" w:cstheme="majorBidi"/>
      <w:b/>
      <w:bCs/>
      <w:color w:val="808080"/>
    </w:rPr>
  </w:style>
  <w:style w:type="character" w:styleId="Enfasidelicata">
    <w:name w:val="Subtle Emphasis"/>
    <w:uiPriority w:val="99"/>
    <w:semiHidden/>
    <w:qFormat/>
    <w:rsid w:val="00352187"/>
    <w:rPr>
      <w:i/>
      <w:iCs/>
    </w:rPr>
  </w:style>
  <w:style w:type="table" w:customStyle="1" w:styleId="ECHRTable">
    <w:name w:val="ECHR_Table"/>
    <w:basedOn w:val="Tabellanormale"/>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ellanormale"/>
    <w:rsid w:val="004C086C"/>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e"/>
    <w:next w:val="ECHRPara"/>
    <w:uiPriority w:val="18"/>
    <w:qFormat/>
    <w:rsid w:val="00352187"/>
    <w:pPr>
      <w:keepNext/>
      <w:keepLines/>
      <w:spacing w:before="720" w:after="240"/>
      <w:outlineLvl w:val="0"/>
    </w:pPr>
    <w:rPr>
      <w:rFonts w:asciiTheme="majorHAnsi" w:hAnsiTheme="majorHAnsi"/>
      <w:sz w:val="28"/>
      <w:lang w:val="en-GB"/>
    </w:rPr>
  </w:style>
  <w:style w:type="character" w:styleId="Enfasicorsivo">
    <w:name w:val="Emphasis"/>
    <w:uiPriority w:val="99"/>
    <w:semiHidden/>
    <w:qFormat/>
    <w:rsid w:val="00352187"/>
    <w:rPr>
      <w:b/>
      <w:bCs/>
      <w:i/>
      <w:iCs/>
      <w:spacing w:val="10"/>
      <w:bdr w:val="none" w:sz="0" w:space="0" w:color="auto"/>
      <w:shd w:val="clear" w:color="auto" w:fill="auto"/>
    </w:rPr>
  </w:style>
  <w:style w:type="paragraph" w:styleId="Pidipagina">
    <w:name w:val="footer"/>
    <w:basedOn w:val="Normale"/>
    <w:link w:val="PidipaginaCarattere"/>
    <w:uiPriority w:val="57"/>
    <w:semiHidden/>
    <w:rsid w:val="00031347"/>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031347"/>
    <w:rPr>
      <w:sz w:val="24"/>
    </w:rPr>
  </w:style>
  <w:style w:type="character" w:styleId="Rimandonotaapidipagina">
    <w:name w:val="footnote reference"/>
    <w:basedOn w:val="Carpredefinitoparagrafo"/>
    <w:uiPriority w:val="99"/>
    <w:semiHidden/>
    <w:rsid w:val="00031347"/>
    <w:rPr>
      <w:vertAlign w:val="superscript"/>
    </w:rPr>
  </w:style>
  <w:style w:type="paragraph" w:styleId="Testonotaapidipagina">
    <w:name w:val="footnote text"/>
    <w:basedOn w:val="Normale"/>
    <w:link w:val="TestonotaapidipaginaCarattere"/>
    <w:uiPriority w:val="99"/>
    <w:semiHidden/>
    <w:rsid w:val="00031347"/>
    <w:rPr>
      <w:sz w:val="20"/>
      <w:szCs w:val="20"/>
    </w:rPr>
  </w:style>
  <w:style w:type="character" w:customStyle="1" w:styleId="TestonotaapidipaginaCarattere">
    <w:name w:val="Testo nota a piè di pagina Carattere"/>
    <w:basedOn w:val="Carpredefinitoparagrafo"/>
    <w:link w:val="Testonotaapidipagina"/>
    <w:uiPriority w:val="99"/>
    <w:semiHidden/>
    <w:rsid w:val="00031347"/>
    <w:rPr>
      <w:rFonts w:eastAsiaTheme="minorEastAsia"/>
      <w:sz w:val="20"/>
      <w:szCs w:val="20"/>
    </w:rPr>
  </w:style>
  <w:style w:type="character" w:customStyle="1" w:styleId="Titolo6Carattere">
    <w:name w:val="Titolo 6 Carattere"/>
    <w:basedOn w:val="Carpredefinitoparagrafo"/>
    <w:link w:val="Titolo6"/>
    <w:uiPriority w:val="99"/>
    <w:semiHidden/>
    <w:rsid w:val="00031347"/>
    <w:rPr>
      <w:rFonts w:asciiTheme="majorHAnsi" w:eastAsiaTheme="majorEastAsia" w:hAnsiTheme="majorHAnsi" w:cstheme="majorBidi"/>
      <w:b/>
      <w:bCs/>
      <w:i/>
      <w:iCs/>
      <w:color w:val="7F7F7F" w:themeColor="text1" w:themeTint="80"/>
      <w:sz w:val="24"/>
      <w:lang w:bidi="en-US"/>
    </w:rPr>
  </w:style>
  <w:style w:type="character" w:customStyle="1" w:styleId="Titolo7Carattere">
    <w:name w:val="Titolo 7 Carattere"/>
    <w:basedOn w:val="Carpredefinitoparagrafo"/>
    <w:link w:val="Titolo7"/>
    <w:uiPriority w:val="99"/>
    <w:semiHidden/>
    <w:rsid w:val="00352187"/>
    <w:rPr>
      <w:rFonts w:asciiTheme="majorHAnsi" w:eastAsiaTheme="majorEastAsia" w:hAnsiTheme="majorHAnsi" w:cstheme="majorBidi"/>
      <w:i/>
      <w:iCs/>
      <w:lang w:bidi="en-US"/>
    </w:rPr>
  </w:style>
  <w:style w:type="character" w:customStyle="1" w:styleId="Titolo8Carattere">
    <w:name w:val="Titolo 8 Carattere"/>
    <w:basedOn w:val="Carpredefinitoparagrafo"/>
    <w:link w:val="Titolo8"/>
    <w:uiPriority w:val="99"/>
    <w:semiHidden/>
    <w:rsid w:val="00352187"/>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352187"/>
    <w:rPr>
      <w:rFonts w:asciiTheme="majorHAnsi" w:eastAsiaTheme="majorEastAsia" w:hAnsiTheme="majorHAnsi" w:cstheme="majorBidi"/>
      <w:i/>
      <w:iCs/>
      <w:spacing w:val="5"/>
      <w:sz w:val="20"/>
      <w:szCs w:val="20"/>
      <w:lang w:bidi="en-US"/>
    </w:rPr>
  </w:style>
  <w:style w:type="character" w:styleId="Collegamentoipertestuale">
    <w:name w:val="Hyperlink"/>
    <w:basedOn w:val="Carpredefinitoparagrafo"/>
    <w:uiPriority w:val="99"/>
    <w:semiHidden/>
    <w:rsid w:val="00031347"/>
    <w:rPr>
      <w:color w:val="0072BC" w:themeColor="hyperlink"/>
      <w:u w:val="single"/>
    </w:rPr>
  </w:style>
  <w:style w:type="character" w:styleId="Enfasiintensa">
    <w:name w:val="Intense Emphasis"/>
    <w:uiPriority w:val="99"/>
    <w:semiHidden/>
    <w:qFormat/>
    <w:rsid w:val="00352187"/>
    <w:rPr>
      <w:b/>
      <w:bCs/>
    </w:rPr>
  </w:style>
  <w:style w:type="paragraph" w:styleId="Citazioneintensa">
    <w:name w:val="Intense Quote"/>
    <w:basedOn w:val="Normale"/>
    <w:next w:val="Normale"/>
    <w:link w:val="CitazioneintensaCarattere"/>
    <w:uiPriority w:val="99"/>
    <w:semiHidden/>
    <w:qFormat/>
    <w:rsid w:val="00352187"/>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352187"/>
    <w:rPr>
      <w:rFonts w:eastAsiaTheme="minorEastAsia"/>
      <w:b/>
      <w:bCs/>
      <w:i/>
      <w:iCs/>
      <w:lang w:bidi="en-US"/>
    </w:rPr>
  </w:style>
  <w:style w:type="character" w:styleId="Riferimentointenso">
    <w:name w:val="Intense Reference"/>
    <w:uiPriority w:val="99"/>
    <w:semiHidden/>
    <w:qFormat/>
    <w:rsid w:val="00352187"/>
    <w:rPr>
      <w:smallCaps/>
      <w:spacing w:val="5"/>
      <w:u w:val="single"/>
    </w:rPr>
  </w:style>
  <w:style w:type="paragraph" w:styleId="Paragrafoelenco">
    <w:name w:val="List Paragraph"/>
    <w:basedOn w:val="Normale"/>
    <w:uiPriority w:val="99"/>
    <w:semiHidden/>
    <w:qFormat/>
    <w:rsid w:val="00352187"/>
    <w:pPr>
      <w:ind w:left="720"/>
      <w:contextualSpacing/>
    </w:pPr>
    <w:rPr>
      <w:lang w:val="en-GB"/>
    </w:rPr>
  </w:style>
  <w:style w:type="table" w:customStyle="1" w:styleId="LtrTableAddress">
    <w:name w:val="Ltr_Table_Address"/>
    <w:basedOn w:val="Tabellanormale"/>
    <w:uiPriority w:val="99"/>
    <w:rsid w:val="001E6F32"/>
    <w:tblPr>
      <w:tblInd w:w="5103" w:type="dxa"/>
    </w:tblPr>
  </w:style>
  <w:style w:type="paragraph" w:styleId="Citazione">
    <w:name w:val="Quote"/>
    <w:basedOn w:val="Normale"/>
    <w:next w:val="Normale"/>
    <w:link w:val="CitazioneCarattere"/>
    <w:uiPriority w:val="99"/>
    <w:semiHidden/>
    <w:qFormat/>
    <w:rsid w:val="00352187"/>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352187"/>
    <w:rPr>
      <w:rFonts w:eastAsiaTheme="minorEastAsia"/>
      <w:i/>
      <w:iCs/>
      <w:lang w:bidi="en-US"/>
    </w:rPr>
  </w:style>
  <w:style w:type="character" w:styleId="Riferimentodelicato">
    <w:name w:val="Subtle Reference"/>
    <w:uiPriority w:val="99"/>
    <w:semiHidden/>
    <w:qFormat/>
    <w:rsid w:val="00352187"/>
    <w:rPr>
      <w:smallCaps/>
    </w:rPr>
  </w:style>
  <w:style w:type="table" w:styleId="Grigliatabella">
    <w:name w:val="Table Grid"/>
    <w:basedOn w:val="Tabellanormale"/>
    <w:uiPriority w:val="59"/>
    <w:semiHidden/>
    <w:rsid w:val="00031347"/>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mmario1">
    <w:name w:val="toc 1"/>
    <w:basedOn w:val="Normale"/>
    <w:next w:val="Normale"/>
    <w:autoRedefine/>
    <w:uiPriority w:val="99"/>
    <w:semiHidden/>
    <w:rsid w:val="00031347"/>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031347"/>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031347"/>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031347"/>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031347"/>
    <w:pPr>
      <w:tabs>
        <w:tab w:val="right" w:leader="dot" w:pos="7371"/>
      </w:tabs>
      <w:spacing w:after="60" w:line="240" w:lineRule="exact"/>
      <w:ind w:left="1701" w:right="567" w:hanging="340"/>
    </w:pPr>
    <w:rPr>
      <w:sz w:val="20"/>
    </w:rPr>
  </w:style>
  <w:style w:type="paragraph" w:styleId="Titolosommario">
    <w:name w:val="TOC Heading"/>
    <w:basedOn w:val="Normale"/>
    <w:next w:val="Normale"/>
    <w:uiPriority w:val="99"/>
    <w:semiHidden/>
    <w:qFormat/>
    <w:rsid w:val="00352187"/>
    <w:pPr>
      <w:keepNext/>
      <w:keepLines/>
      <w:spacing w:before="240"/>
      <w:contextualSpacing/>
      <w:jc w:val="center"/>
    </w:pPr>
    <w:rPr>
      <w:rFonts w:asciiTheme="majorHAnsi" w:eastAsiaTheme="minorHAnsi" w:hAnsiTheme="majorHAnsi"/>
      <w:b/>
      <w:color w:val="474747" w:themeColor="accent3" w:themeShade="BF"/>
      <w:sz w:val="28"/>
      <w:lang w:val="en-GB"/>
    </w:rPr>
  </w:style>
  <w:style w:type="table" w:customStyle="1" w:styleId="UGTable">
    <w:name w:val="UG_Table"/>
    <w:basedOn w:val="Tabellanormale"/>
    <w:uiPriority w:val="99"/>
    <w:rsid w:val="00801300"/>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ellanormale"/>
    <w:uiPriority w:val="99"/>
    <w:rsid w:val="00801300"/>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ellanormale"/>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ellanormale"/>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ellanormale"/>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ellanormale"/>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itoloindicefonti">
    <w:name w:val="toa heading"/>
    <w:basedOn w:val="Normale"/>
    <w:next w:val="Normale"/>
    <w:uiPriority w:val="99"/>
    <w:semiHidden/>
    <w:rsid w:val="00031347"/>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customStyle="1" w:styleId="ECHRParaQuote">
    <w:name w:val="ECHR_Para_Quote"/>
    <w:aliases w:val="Ju_Quot"/>
    <w:basedOn w:val="Normale"/>
    <w:uiPriority w:val="14"/>
    <w:qFormat/>
    <w:rsid w:val="00352187"/>
    <w:pPr>
      <w:spacing w:before="120" w:after="120"/>
      <w:ind w:left="425" w:firstLine="142"/>
    </w:pPr>
    <w:rPr>
      <w:sz w:val="20"/>
      <w:lang w:val="en-GB"/>
    </w:rPr>
  </w:style>
  <w:style w:type="table" w:customStyle="1" w:styleId="ECHRTableSimpleBox">
    <w:name w:val="ECHR_Table_Simple_Box"/>
    <w:basedOn w:val="Tabellanormale"/>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ellanormale"/>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ellanormale"/>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ellanormale"/>
    <w:uiPriority w:val="99"/>
    <w:rsid w:val="00031347"/>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ellanormale"/>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ellanormale"/>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ECHRHeaderTableReduced">
    <w:name w:val="ECHR_Header_Table_Reduced"/>
    <w:basedOn w:val="Tabellanormale"/>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Signed">
    <w:name w:val="Ju_Signed"/>
    <w:basedOn w:val="Normale"/>
    <w:next w:val="JuParaLast"/>
    <w:uiPriority w:val="32"/>
    <w:qFormat/>
    <w:rsid w:val="00352187"/>
    <w:pPr>
      <w:tabs>
        <w:tab w:val="center" w:pos="851"/>
        <w:tab w:val="center" w:pos="6407"/>
      </w:tabs>
      <w:spacing w:before="720"/>
      <w:jc w:val="left"/>
    </w:pPr>
    <w:rPr>
      <w:lang w:val="en-GB"/>
    </w:rPr>
  </w:style>
  <w:style w:type="paragraph" w:customStyle="1" w:styleId="JuParaLast">
    <w:name w:val="Ju_Para_Last"/>
    <w:basedOn w:val="Normale"/>
    <w:next w:val="ECHRPara"/>
    <w:uiPriority w:val="30"/>
    <w:qFormat/>
    <w:rsid w:val="00352187"/>
    <w:pPr>
      <w:keepNext/>
      <w:keepLines/>
      <w:spacing w:before="240"/>
      <w:ind w:firstLine="284"/>
    </w:pPr>
    <w:rPr>
      <w:lang w:val="en-GB"/>
    </w:rPr>
  </w:style>
  <w:style w:type="paragraph" w:customStyle="1" w:styleId="JuCase">
    <w:name w:val="Ju_Case"/>
    <w:basedOn w:val="Normale"/>
    <w:next w:val="ECHRPara"/>
    <w:uiPriority w:val="10"/>
    <w:rsid w:val="00031347"/>
    <w:pPr>
      <w:ind w:firstLine="284"/>
    </w:pPr>
    <w:rPr>
      <w:b/>
    </w:rPr>
  </w:style>
  <w:style w:type="paragraph" w:customStyle="1" w:styleId="JuList">
    <w:name w:val="Ju_List"/>
    <w:basedOn w:val="Normale"/>
    <w:uiPriority w:val="28"/>
    <w:qFormat/>
    <w:rsid w:val="00352187"/>
    <w:pPr>
      <w:ind w:left="340" w:hanging="340"/>
    </w:pPr>
    <w:rPr>
      <w:lang w:val="en-GB"/>
    </w:rPr>
  </w:style>
  <w:style w:type="character" w:customStyle="1" w:styleId="JuITMark">
    <w:name w:val="Ju_ITMark"/>
    <w:basedOn w:val="Carpredefinitoparagrafo"/>
    <w:uiPriority w:val="38"/>
    <w:qFormat/>
    <w:rsid w:val="00352187"/>
    <w:rPr>
      <w:vanish w:val="0"/>
      <w:color w:val="auto"/>
      <w:sz w:val="14"/>
      <w:bdr w:val="none" w:sz="0" w:space="0" w:color="auto"/>
      <w:shd w:val="clear" w:color="auto" w:fill="BEE5FF" w:themeFill="background1" w:themeFillTint="33"/>
    </w:rPr>
  </w:style>
  <w:style w:type="character" w:styleId="Numeropagina">
    <w:name w:val="page number"/>
    <w:uiPriority w:val="99"/>
    <w:semiHidden/>
    <w:rsid w:val="00E77CB3"/>
    <w:rPr>
      <w:rFonts w:ascii="Times New Roman" w:hAnsi="Times New Roman" w:cs="Times New Roman"/>
      <w:sz w:val="18"/>
    </w:rPr>
  </w:style>
  <w:style w:type="paragraph" w:customStyle="1" w:styleId="OpiTranslation">
    <w:name w:val="Opi_Translation"/>
    <w:basedOn w:val="Normale"/>
    <w:next w:val="OpiPara"/>
    <w:uiPriority w:val="40"/>
    <w:qFormat/>
    <w:rsid w:val="00352187"/>
    <w:pPr>
      <w:jc w:val="center"/>
      <w:outlineLvl w:val="0"/>
    </w:pPr>
    <w:rPr>
      <w:i/>
      <w:lang w:val="en-GB"/>
    </w:rPr>
  </w:style>
  <w:style w:type="paragraph" w:customStyle="1" w:styleId="DecHTitle">
    <w:name w:val="Dec_H_Title"/>
    <w:basedOn w:val="ECHRTitleCentre1"/>
    <w:uiPriority w:val="7"/>
    <w:semiHidden/>
    <w:qFormat/>
    <w:rsid w:val="00352187"/>
  </w:style>
  <w:style w:type="character" w:styleId="Rimandocommento">
    <w:name w:val="annotation reference"/>
    <w:uiPriority w:val="99"/>
    <w:semiHidden/>
    <w:rsid w:val="00E77CB3"/>
    <w:rPr>
      <w:sz w:val="16"/>
    </w:rPr>
  </w:style>
  <w:style w:type="paragraph" w:styleId="Testocommento">
    <w:name w:val="annotation text"/>
    <w:basedOn w:val="Normale"/>
    <w:link w:val="TestocommentoCarattere"/>
    <w:uiPriority w:val="99"/>
    <w:semiHidden/>
    <w:rsid w:val="00E77CB3"/>
    <w:rPr>
      <w:sz w:val="20"/>
    </w:rPr>
  </w:style>
  <w:style w:type="character" w:customStyle="1" w:styleId="TestocommentoCarattere">
    <w:name w:val="Testo commento Carattere"/>
    <w:basedOn w:val="Carpredefinitoparagrafo"/>
    <w:link w:val="Testocommento"/>
    <w:uiPriority w:val="99"/>
    <w:semiHidden/>
    <w:rsid w:val="00E77CB3"/>
    <w:rPr>
      <w:rFonts w:eastAsiaTheme="minorEastAsia"/>
      <w:sz w:val="20"/>
    </w:rPr>
  </w:style>
  <w:style w:type="character" w:styleId="Rimandonotadichiusura">
    <w:name w:val="endnote reference"/>
    <w:uiPriority w:val="99"/>
    <w:semiHidden/>
    <w:rsid w:val="00E77CB3"/>
    <w:rPr>
      <w:rFonts w:ascii="Times New Roman" w:hAnsi="Times New Roman" w:cs="Times New Roman"/>
      <w:vertAlign w:val="superscript"/>
    </w:rPr>
  </w:style>
  <w:style w:type="paragraph" w:styleId="Testonotadichiusura">
    <w:name w:val="endnote text"/>
    <w:basedOn w:val="Normale"/>
    <w:link w:val="TestonotadichiusuraCarattere"/>
    <w:uiPriority w:val="99"/>
    <w:semiHidden/>
    <w:rsid w:val="00E77CB3"/>
    <w:rPr>
      <w:sz w:val="20"/>
    </w:rPr>
  </w:style>
  <w:style w:type="character" w:customStyle="1" w:styleId="TestonotadichiusuraCarattere">
    <w:name w:val="Testo nota di chiusura Carattere"/>
    <w:basedOn w:val="Carpredefinitoparagrafo"/>
    <w:link w:val="Testonotadichiusura"/>
    <w:uiPriority w:val="99"/>
    <w:semiHidden/>
    <w:rsid w:val="00E77CB3"/>
    <w:rPr>
      <w:rFonts w:eastAsiaTheme="minorEastAsia"/>
      <w:sz w:val="20"/>
    </w:rPr>
  </w:style>
  <w:style w:type="character" w:styleId="Collegamentovisitato">
    <w:name w:val="FollowedHyperlink"/>
    <w:uiPriority w:val="99"/>
    <w:semiHidden/>
    <w:rsid w:val="00E77CB3"/>
    <w:rPr>
      <w:rFonts w:ascii="Times New Roman" w:hAnsi="Times New Roman" w:cs="Times New Roman"/>
      <w:color w:val="800080"/>
      <w:u w:val="single"/>
    </w:rPr>
  </w:style>
  <w:style w:type="paragraph" w:styleId="Puntoelenco">
    <w:name w:val="List Bullet"/>
    <w:basedOn w:val="Normale"/>
    <w:uiPriority w:val="99"/>
    <w:semiHidden/>
    <w:rsid w:val="00E77CB3"/>
    <w:pPr>
      <w:numPr>
        <w:numId w:val="1"/>
      </w:numPr>
    </w:pPr>
  </w:style>
  <w:style w:type="paragraph" w:customStyle="1" w:styleId="JuCourt">
    <w:name w:val="Ju_Court"/>
    <w:basedOn w:val="Normale"/>
    <w:next w:val="Normale"/>
    <w:uiPriority w:val="16"/>
    <w:qFormat/>
    <w:rsid w:val="00352187"/>
    <w:pPr>
      <w:tabs>
        <w:tab w:val="left" w:pos="907"/>
        <w:tab w:val="left" w:pos="1701"/>
        <w:tab w:val="right" w:pos="7371"/>
      </w:tabs>
      <w:spacing w:before="240"/>
      <w:ind w:left="397" w:hanging="397"/>
      <w:jc w:val="left"/>
    </w:pPr>
    <w:rPr>
      <w:lang w:val="en-GB" w:bidi="en-US"/>
    </w:rPr>
  </w:style>
  <w:style w:type="paragraph" w:styleId="Soggettocommento">
    <w:name w:val="annotation subject"/>
    <w:basedOn w:val="Testocommento"/>
    <w:next w:val="Testocommento"/>
    <w:link w:val="SoggettocommentoCarattere"/>
    <w:uiPriority w:val="99"/>
    <w:semiHidden/>
    <w:rsid w:val="00E77CB3"/>
    <w:rPr>
      <w:b/>
      <w:bCs/>
    </w:rPr>
  </w:style>
  <w:style w:type="character" w:customStyle="1" w:styleId="SoggettocommentoCarattere">
    <w:name w:val="Soggetto commento Carattere"/>
    <w:basedOn w:val="TestocommentoCarattere"/>
    <w:link w:val="Soggettocommento"/>
    <w:uiPriority w:val="99"/>
    <w:semiHidden/>
    <w:rsid w:val="00E77CB3"/>
    <w:rPr>
      <w:rFonts w:eastAsiaTheme="minorEastAsia"/>
      <w:b/>
      <w:bCs/>
      <w:sz w:val="20"/>
    </w:rPr>
  </w:style>
  <w:style w:type="paragraph" w:styleId="Mappadocumento">
    <w:name w:val="Document Map"/>
    <w:basedOn w:val="Normale"/>
    <w:link w:val="MappadocumentoCarattere"/>
    <w:uiPriority w:val="99"/>
    <w:semiHidden/>
    <w:rsid w:val="00E77CB3"/>
    <w:pPr>
      <w:shd w:val="clear" w:color="auto" w:fill="000080"/>
    </w:pPr>
    <w:rPr>
      <w:rFonts w:ascii="Tahoma" w:hAnsi="Tahoma" w:cs="Tahoma"/>
      <w:sz w:val="20"/>
    </w:rPr>
  </w:style>
  <w:style w:type="character" w:customStyle="1" w:styleId="MappadocumentoCarattere">
    <w:name w:val="Mappa documento Carattere"/>
    <w:basedOn w:val="Carpredefinitoparagrafo"/>
    <w:link w:val="Mappadocumento"/>
    <w:uiPriority w:val="99"/>
    <w:semiHidden/>
    <w:rsid w:val="00E77CB3"/>
    <w:rPr>
      <w:rFonts w:ascii="Tahoma" w:eastAsiaTheme="minorEastAsia" w:hAnsi="Tahoma" w:cs="Tahoma"/>
      <w:sz w:val="20"/>
      <w:shd w:val="clear" w:color="auto" w:fill="000080"/>
    </w:rPr>
  </w:style>
  <w:style w:type="paragraph" w:customStyle="1" w:styleId="DecList">
    <w:name w:val="Dec_List"/>
    <w:basedOn w:val="Normale"/>
    <w:uiPriority w:val="9"/>
    <w:semiHidden/>
    <w:qFormat/>
    <w:rsid w:val="00352187"/>
    <w:pPr>
      <w:spacing w:before="240"/>
      <w:ind w:left="284"/>
    </w:pPr>
    <w:rPr>
      <w:lang w:val="en-GB"/>
    </w:rPr>
  </w:style>
  <w:style w:type="paragraph" w:styleId="Sottotitolo">
    <w:name w:val="Subtitle"/>
    <w:basedOn w:val="Normale"/>
    <w:next w:val="Normale"/>
    <w:link w:val="SottotitoloCarattere"/>
    <w:uiPriority w:val="99"/>
    <w:semiHidden/>
    <w:qFormat/>
    <w:rsid w:val="00352187"/>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352187"/>
    <w:rPr>
      <w:rFonts w:asciiTheme="majorHAnsi" w:eastAsiaTheme="majorEastAsia" w:hAnsiTheme="majorHAnsi" w:cstheme="majorBidi"/>
      <w:i/>
      <w:iCs/>
      <w:spacing w:val="13"/>
      <w:sz w:val="24"/>
      <w:szCs w:val="24"/>
      <w:lang w:bidi="en-US"/>
    </w:rPr>
  </w:style>
  <w:style w:type="numbering" w:styleId="111111">
    <w:name w:val="Outline List 2"/>
    <w:basedOn w:val="Nessunelenco"/>
    <w:uiPriority w:val="99"/>
    <w:semiHidden/>
    <w:rsid w:val="00E77CB3"/>
    <w:pPr>
      <w:numPr>
        <w:numId w:val="2"/>
      </w:numPr>
    </w:pPr>
  </w:style>
  <w:style w:type="numbering" w:styleId="1ai">
    <w:name w:val="Outline List 1"/>
    <w:basedOn w:val="Nessunelenco"/>
    <w:uiPriority w:val="99"/>
    <w:semiHidden/>
    <w:rsid w:val="00E77CB3"/>
    <w:pPr>
      <w:numPr>
        <w:numId w:val="3"/>
      </w:numPr>
    </w:pPr>
  </w:style>
  <w:style w:type="numbering" w:styleId="ArticoloSezione">
    <w:name w:val="Outline List 3"/>
    <w:basedOn w:val="Nessunelenco"/>
    <w:uiPriority w:val="99"/>
    <w:semiHidden/>
    <w:rsid w:val="00E77CB3"/>
    <w:pPr>
      <w:numPr>
        <w:numId w:val="4"/>
      </w:numPr>
    </w:pPr>
  </w:style>
  <w:style w:type="paragraph" w:styleId="Bibliografia">
    <w:name w:val="Bibliography"/>
    <w:basedOn w:val="Normale"/>
    <w:next w:val="Normale"/>
    <w:uiPriority w:val="99"/>
    <w:semiHidden/>
    <w:unhideWhenUsed/>
    <w:rsid w:val="00E77CB3"/>
  </w:style>
  <w:style w:type="paragraph" w:styleId="Testodelblocco">
    <w:name w:val="Block Text"/>
    <w:basedOn w:val="Normale"/>
    <w:uiPriority w:val="99"/>
    <w:semiHidden/>
    <w:rsid w:val="00E77CB3"/>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rsid w:val="00E77CB3"/>
    <w:pPr>
      <w:spacing w:after="120"/>
    </w:pPr>
  </w:style>
  <w:style w:type="character" w:customStyle="1" w:styleId="CorpotestoCarattere">
    <w:name w:val="Corpo testo Carattere"/>
    <w:basedOn w:val="Carpredefinitoparagrafo"/>
    <w:link w:val="Corpotesto"/>
    <w:uiPriority w:val="99"/>
    <w:semiHidden/>
    <w:rsid w:val="00E77CB3"/>
    <w:rPr>
      <w:rFonts w:eastAsiaTheme="minorEastAsia"/>
      <w:sz w:val="24"/>
    </w:rPr>
  </w:style>
  <w:style w:type="paragraph" w:styleId="Corpodeltesto2">
    <w:name w:val="Body Text 2"/>
    <w:basedOn w:val="Normale"/>
    <w:link w:val="Corpodeltesto2Carattere"/>
    <w:uiPriority w:val="99"/>
    <w:semiHidden/>
    <w:rsid w:val="00E77CB3"/>
    <w:pPr>
      <w:spacing w:after="120" w:line="480" w:lineRule="auto"/>
    </w:pPr>
  </w:style>
  <w:style w:type="character" w:customStyle="1" w:styleId="Corpodeltesto2Carattere">
    <w:name w:val="Corpo del testo 2 Carattere"/>
    <w:basedOn w:val="Carpredefinitoparagrafo"/>
    <w:link w:val="Corpodeltesto2"/>
    <w:uiPriority w:val="99"/>
    <w:semiHidden/>
    <w:rsid w:val="00E77CB3"/>
    <w:rPr>
      <w:rFonts w:eastAsiaTheme="minorEastAsia"/>
      <w:sz w:val="24"/>
    </w:rPr>
  </w:style>
  <w:style w:type="paragraph" w:styleId="Corpodeltesto3">
    <w:name w:val="Body Text 3"/>
    <w:basedOn w:val="Normale"/>
    <w:link w:val="Corpodeltesto3Carattere"/>
    <w:uiPriority w:val="99"/>
    <w:semiHidden/>
    <w:rsid w:val="00E77CB3"/>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77CB3"/>
    <w:rPr>
      <w:rFonts w:eastAsiaTheme="minorEastAsia"/>
      <w:sz w:val="16"/>
      <w:szCs w:val="16"/>
    </w:rPr>
  </w:style>
  <w:style w:type="paragraph" w:styleId="Primorientrocorpodeltesto">
    <w:name w:val="Body Text First Indent"/>
    <w:basedOn w:val="Corpotesto"/>
    <w:link w:val="PrimorientrocorpodeltestoCarattere"/>
    <w:uiPriority w:val="99"/>
    <w:semiHidden/>
    <w:rsid w:val="00E77CB3"/>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77CB3"/>
    <w:rPr>
      <w:rFonts w:eastAsiaTheme="minorEastAsia"/>
      <w:sz w:val="24"/>
    </w:rPr>
  </w:style>
  <w:style w:type="paragraph" w:styleId="Rientrocorpodeltesto">
    <w:name w:val="Body Text Indent"/>
    <w:basedOn w:val="Normale"/>
    <w:link w:val="RientrocorpodeltestoCarattere"/>
    <w:uiPriority w:val="99"/>
    <w:semiHidden/>
    <w:rsid w:val="00E77CB3"/>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77CB3"/>
    <w:rPr>
      <w:rFonts w:eastAsiaTheme="minorEastAsia"/>
      <w:sz w:val="24"/>
    </w:rPr>
  </w:style>
  <w:style w:type="paragraph" w:styleId="Primorientrocorpodeltesto2">
    <w:name w:val="Body Text First Indent 2"/>
    <w:basedOn w:val="Rientrocorpodeltesto"/>
    <w:link w:val="Primorientrocorpodeltesto2Carattere"/>
    <w:uiPriority w:val="99"/>
    <w:semiHidden/>
    <w:rsid w:val="00E77CB3"/>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77CB3"/>
    <w:rPr>
      <w:rFonts w:eastAsiaTheme="minorEastAsia"/>
      <w:sz w:val="24"/>
    </w:rPr>
  </w:style>
  <w:style w:type="paragraph" w:styleId="Rientrocorpodeltesto2">
    <w:name w:val="Body Text Indent 2"/>
    <w:basedOn w:val="Normale"/>
    <w:link w:val="Rientrocorpodeltesto2Carattere"/>
    <w:uiPriority w:val="99"/>
    <w:semiHidden/>
    <w:rsid w:val="00E77CB3"/>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77CB3"/>
    <w:rPr>
      <w:rFonts w:eastAsiaTheme="minorEastAsia"/>
      <w:sz w:val="24"/>
    </w:rPr>
  </w:style>
  <w:style w:type="paragraph" w:styleId="Rientrocorpodeltesto3">
    <w:name w:val="Body Text Indent 3"/>
    <w:basedOn w:val="Normale"/>
    <w:link w:val="Rientrocorpodeltesto3Carattere"/>
    <w:uiPriority w:val="99"/>
    <w:semiHidden/>
    <w:rsid w:val="00E77CB3"/>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77CB3"/>
    <w:rPr>
      <w:rFonts w:eastAsiaTheme="minorEastAsia"/>
      <w:sz w:val="16"/>
      <w:szCs w:val="16"/>
    </w:rPr>
  </w:style>
  <w:style w:type="paragraph" w:styleId="Didascalia">
    <w:name w:val="caption"/>
    <w:basedOn w:val="Normale"/>
    <w:next w:val="Normale"/>
    <w:uiPriority w:val="99"/>
    <w:semiHidden/>
    <w:qFormat/>
    <w:rsid w:val="00E77CB3"/>
    <w:pPr>
      <w:spacing w:after="200"/>
    </w:pPr>
    <w:rPr>
      <w:b/>
      <w:bCs/>
      <w:color w:val="0072BC" w:themeColor="accent1"/>
      <w:sz w:val="18"/>
      <w:szCs w:val="18"/>
      <w:lang w:val="en-GB"/>
    </w:rPr>
  </w:style>
  <w:style w:type="paragraph" w:styleId="Formuladichiusura">
    <w:name w:val="Closing"/>
    <w:basedOn w:val="Normale"/>
    <w:link w:val="FormuladichiusuraCarattere"/>
    <w:uiPriority w:val="99"/>
    <w:semiHidden/>
    <w:rsid w:val="00E77CB3"/>
    <w:pPr>
      <w:ind w:left="4252"/>
    </w:pPr>
  </w:style>
  <w:style w:type="character" w:customStyle="1" w:styleId="FormuladichiusuraCarattere">
    <w:name w:val="Formula di chiusura Carattere"/>
    <w:basedOn w:val="Carpredefinitoparagrafo"/>
    <w:link w:val="Formuladichiusura"/>
    <w:uiPriority w:val="99"/>
    <w:semiHidden/>
    <w:rsid w:val="00E77CB3"/>
    <w:rPr>
      <w:rFonts w:eastAsiaTheme="minorEastAsia"/>
      <w:sz w:val="24"/>
    </w:rPr>
  </w:style>
  <w:style w:type="table" w:styleId="Grigliaacolori">
    <w:name w:val="Colorful Grid"/>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99"/>
    <w:semiHidden/>
    <w:rsid w:val="00E77CB3"/>
    <w:rPr>
      <w:color w:val="000000" w:themeColor="text1"/>
      <w:lang w:val="fr-FR" w:eastAsia="fr-FR"/>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99"/>
    <w:semiHidden/>
    <w:rsid w:val="00E77CB3"/>
    <w:rPr>
      <w:color w:val="000000" w:themeColor="text1"/>
      <w:lang w:val="fr-FR" w:eastAsia="fr-FR"/>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99"/>
    <w:semiHidden/>
    <w:rsid w:val="00E77CB3"/>
    <w:rPr>
      <w:color w:val="000000" w:themeColor="text1"/>
      <w:lang w:val="fr-FR" w:eastAsia="fr-FR"/>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99"/>
    <w:semiHidden/>
    <w:rsid w:val="00E77CB3"/>
    <w:rPr>
      <w:color w:val="000000" w:themeColor="text1"/>
      <w:lang w:val="fr-FR" w:eastAsia="fr-FR"/>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99"/>
    <w:semiHidden/>
    <w:rsid w:val="00E77CB3"/>
    <w:rPr>
      <w:color w:val="000000" w:themeColor="text1"/>
      <w:lang w:val="fr-FR" w:eastAsia="fr-FR"/>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99"/>
    <w:semiHidden/>
    <w:rsid w:val="00E77CB3"/>
    <w:rPr>
      <w:color w:val="000000" w:themeColor="text1"/>
      <w:lang w:val="fr-FR" w:eastAsia="fr-FR"/>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99"/>
    <w:semiHidden/>
    <w:rsid w:val="00E77CB3"/>
    <w:rPr>
      <w:color w:val="000000" w:themeColor="text1"/>
      <w:lang w:val="fr-FR" w:eastAsia="fr-FR"/>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99"/>
    <w:semiHidden/>
    <w:rsid w:val="00E77CB3"/>
    <w:rPr>
      <w:color w:val="000000" w:themeColor="text1"/>
      <w:lang w:val="fr-FR" w:eastAsia="fr-FR"/>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99"/>
    <w:semiHidden/>
    <w:rsid w:val="00E77CB3"/>
    <w:rPr>
      <w:color w:val="000000" w:themeColor="text1"/>
      <w:lang w:val="fr-FR" w:eastAsia="fr-FR"/>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99"/>
    <w:semiHidden/>
    <w:rsid w:val="00E77CB3"/>
    <w:rPr>
      <w:color w:val="000000" w:themeColor="text1"/>
      <w:lang w:val="fr-FR" w:eastAsia="fr-FR"/>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99"/>
    <w:semiHidden/>
    <w:rsid w:val="00E77CB3"/>
    <w:rPr>
      <w:color w:val="000000" w:themeColor="text1"/>
      <w:lang w:val="fr-FR" w:eastAsia="fr-FR"/>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Elencoscuro">
    <w:name w:val="Dark List"/>
    <w:basedOn w:val="Tabellanormale"/>
    <w:uiPriority w:val="99"/>
    <w:semiHidden/>
    <w:rsid w:val="00E77CB3"/>
    <w:rPr>
      <w:color w:val="0072BC" w:themeColor="background1"/>
      <w:lang w:val="fr-FR" w:eastAsia="fr-FR"/>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99"/>
    <w:semiHidden/>
    <w:rsid w:val="00E77CB3"/>
    <w:rPr>
      <w:color w:val="0072BC" w:themeColor="background1"/>
      <w:lang w:val="fr-FR" w:eastAsia="fr-FR"/>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99"/>
    <w:semiHidden/>
    <w:rsid w:val="00E77CB3"/>
    <w:rPr>
      <w:color w:val="0072BC" w:themeColor="background1"/>
      <w:lang w:val="fr-FR" w:eastAsia="fr-FR"/>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99"/>
    <w:semiHidden/>
    <w:rsid w:val="00E77CB3"/>
    <w:rPr>
      <w:color w:val="0072BC" w:themeColor="background1"/>
      <w:lang w:val="fr-FR" w:eastAsia="fr-FR"/>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99"/>
    <w:semiHidden/>
    <w:rsid w:val="00E77CB3"/>
    <w:rPr>
      <w:color w:val="0072BC" w:themeColor="background1"/>
      <w:lang w:val="fr-FR" w:eastAsia="fr-FR"/>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99"/>
    <w:semiHidden/>
    <w:rsid w:val="00E77CB3"/>
    <w:rPr>
      <w:color w:val="0072BC" w:themeColor="background1"/>
      <w:lang w:val="fr-FR" w:eastAsia="fr-FR"/>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rsid w:val="00E77CB3"/>
  </w:style>
  <w:style w:type="character" w:customStyle="1" w:styleId="DataCarattere">
    <w:name w:val="Data Carattere"/>
    <w:basedOn w:val="Carpredefinitoparagrafo"/>
    <w:link w:val="Data"/>
    <w:uiPriority w:val="99"/>
    <w:semiHidden/>
    <w:rsid w:val="00E77CB3"/>
    <w:rPr>
      <w:rFonts w:eastAsiaTheme="minorEastAsia"/>
      <w:sz w:val="24"/>
    </w:rPr>
  </w:style>
  <w:style w:type="paragraph" w:styleId="Firmadipostaelettronica">
    <w:name w:val="E-mail Signature"/>
    <w:basedOn w:val="Normale"/>
    <w:link w:val="FirmadipostaelettronicaCarattere"/>
    <w:uiPriority w:val="99"/>
    <w:semiHidden/>
    <w:rsid w:val="00E77CB3"/>
  </w:style>
  <w:style w:type="character" w:customStyle="1" w:styleId="FirmadipostaelettronicaCarattere">
    <w:name w:val="Firma di posta elettronica Carattere"/>
    <w:basedOn w:val="Carpredefinitoparagrafo"/>
    <w:link w:val="Firmadipostaelettronica"/>
    <w:uiPriority w:val="99"/>
    <w:semiHidden/>
    <w:rsid w:val="00E77CB3"/>
    <w:rPr>
      <w:rFonts w:eastAsiaTheme="minorEastAsia"/>
      <w:sz w:val="24"/>
    </w:rPr>
  </w:style>
  <w:style w:type="paragraph" w:styleId="Indirizzodestinatario">
    <w:name w:val="envelope address"/>
    <w:basedOn w:val="Normale"/>
    <w:uiPriority w:val="99"/>
    <w:semiHidden/>
    <w:rsid w:val="00E77CB3"/>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Indirizzomittente">
    <w:name w:val="envelope return"/>
    <w:basedOn w:val="Normale"/>
    <w:uiPriority w:val="99"/>
    <w:semiHidden/>
    <w:rsid w:val="00E77CB3"/>
    <w:rPr>
      <w:rFonts w:asciiTheme="majorHAnsi" w:eastAsiaTheme="majorEastAsia" w:hAnsiTheme="majorHAnsi" w:cstheme="majorBidi"/>
      <w:sz w:val="20"/>
      <w:szCs w:val="20"/>
    </w:rPr>
  </w:style>
  <w:style w:type="character" w:styleId="AcronimoHTML">
    <w:name w:val="HTML Acronym"/>
    <w:basedOn w:val="Carpredefinitoparagrafo"/>
    <w:uiPriority w:val="99"/>
    <w:semiHidden/>
    <w:rsid w:val="00E77CB3"/>
  </w:style>
  <w:style w:type="paragraph" w:styleId="IndirizzoHTML">
    <w:name w:val="HTML Address"/>
    <w:basedOn w:val="Normale"/>
    <w:link w:val="IndirizzoHTMLCarattere"/>
    <w:uiPriority w:val="99"/>
    <w:semiHidden/>
    <w:rsid w:val="00E77CB3"/>
    <w:rPr>
      <w:i/>
      <w:iCs/>
    </w:rPr>
  </w:style>
  <w:style w:type="character" w:customStyle="1" w:styleId="IndirizzoHTMLCarattere">
    <w:name w:val="Indirizzo HTML Carattere"/>
    <w:basedOn w:val="Carpredefinitoparagrafo"/>
    <w:link w:val="IndirizzoHTML"/>
    <w:uiPriority w:val="99"/>
    <w:semiHidden/>
    <w:rsid w:val="00E77CB3"/>
    <w:rPr>
      <w:rFonts w:eastAsiaTheme="minorEastAsia"/>
      <w:i/>
      <w:iCs/>
      <w:sz w:val="24"/>
    </w:rPr>
  </w:style>
  <w:style w:type="character" w:styleId="CitazioneHTML">
    <w:name w:val="HTML Cite"/>
    <w:basedOn w:val="Carpredefinitoparagrafo"/>
    <w:uiPriority w:val="99"/>
    <w:semiHidden/>
    <w:rsid w:val="00E77CB3"/>
    <w:rPr>
      <w:i/>
      <w:iCs/>
    </w:rPr>
  </w:style>
  <w:style w:type="character" w:styleId="CodiceHTML">
    <w:name w:val="HTML Code"/>
    <w:basedOn w:val="Carpredefinitoparagrafo"/>
    <w:uiPriority w:val="99"/>
    <w:semiHidden/>
    <w:rsid w:val="00E77CB3"/>
    <w:rPr>
      <w:rFonts w:ascii="Consolas" w:hAnsi="Consolas" w:cs="Consolas"/>
      <w:sz w:val="20"/>
      <w:szCs w:val="20"/>
    </w:rPr>
  </w:style>
  <w:style w:type="character" w:styleId="DefinizioneHTML">
    <w:name w:val="HTML Definition"/>
    <w:basedOn w:val="Carpredefinitoparagrafo"/>
    <w:uiPriority w:val="99"/>
    <w:semiHidden/>
    <w:rsid w:val="00E77CB3"/>
    <w:rPr>
      <w:i/>
      <w:iCs/>
    </w:rPr>
  </w:style>
  <w:style w:type="character" w:styleId="TastieraHTML">
    <w:name w:val="HTML Keyboard"/>
    <w:basedOn w:val="Carpredefinitoparagrafo"/>
    <w:uiPriority w:val="99"/>
    <w:semiHidden/>
    <w:rsid w:val="00E77CB3"/>
    <w:rPr>
      <w:rFonts w:ascii="Consolas" w:hAnsi="Consolas" w:cs="Consolas"/>
      <w:sz w:val="20"/>
      <w:szCs w:val="20"/>
    </w:rPr>
  </w:style>
  <w:style w:type="paragraph" w:styleId="PreformattatoHTML">
    <w:name w:val="HTML Preformatted"/>
    <w:basedOn w:val="Normale"/>
    <w:link w:val="PreformattatoHTMLCarattere"/>
    <w:uiPriority w:val="99"/>
    <w:semiHidden/>
    <w:rsid w:val="00E77CB3"/>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77CB3"/>
    <w:rPr>
      <w:rFonts w:ascii="Consolas" w:eastAsiaTheme="minorEastAsia" w:hAnsi="Consolas" w:cs="Consolas"/>
      <w:sz w:val="20"/>
      <w:szCs w:val="20"/>
    </w:rPr>
  </w:style>
  <w:style w:type="character" w:styleId="EsempioHTML">
    <w:name w:val="HTML Sample"/>
    <w:basedOn w:val="Carpredefinitoparagrafo"/>
    <w:uiPriority w:val="99"/>
    <w:semiHidden/>
    <w:rsid w:val="00E77CB3"/>
    <w:rPr>
      <w:rFonts w:ascii="Consolas" w:hAnsi="Consolas" w:cs="Consolas"/>
      <w:sz w:val="24"/>
      <w:szCs w:val="24"/>
    </w:rPr>
  </w:style>
  <w:style w:type="character" w:styleId="MacchinadascrivereHTML">
    <w:name w:val="HTML Typewriter"/>
    <w:basedOn w:val="Carpredefinitoparagrafo"/>
    <w:uiPriority w:val="99"/>
    <w:semiHidden/>
    <w:rsid w:val="00E77CB3"/>
    <w:rPr>
      <w:rFonts w:ascii="Consolas" w:hAnsi="Consolas" w:cs="Consolas"/>
      <w:sz w:val="20"/>
      <w:szCs w:val="20"/>
    </w:rPr>
  </w:style>
  <w:style w:type="character" w:styleId="VariabileHTML">
    <w:name w:val="HTML Variable"/>
    <w:basedOn w:val="Carpredefinitoparagrafo"/>
    <w:uiPriority w:val="99"/>
    <w:semiHidden/>
    <w:rsid w:val="00E77CB3"/>
    <w:rPr>
      <w:i/>
      <w:iCs/>
    </w:rPr>
  </w:style>
  <w:style w:type="paragraph" w:styleId="Indice1">
    <w:name w:val="index 1"/>
    <w:basedOn w:val="Normale"/>
    <w:next w:val="Normale"/>
    <w:autoRedefine/>
    <w:uiPriority w:val="99"/>
    <w:semiHidden/>
    <w:rsid w:val="00E77CB3"/>
    <w:pPr>
      <w:ind w:left="240" w:hanging="240"/>
    </w:pPr>
  </w:style>
  <w:style w:type="paragraph" w:styleId="Indice2">
    <w:name w:val="index 2"/>
    <w:basedOn w:val="Normale"/>
    <w:next w:val="Normale"/>
    <w:autoRedefine/>
    <w:uiPriority w:val="99"/>
    <w:semiHidden/>
    <w:rsid w:val="00E77CB3"/>
    <w:pPr>
      <w:ind w:left="480" w:hanging="240"/>
    </w:pPr>
  </w:style>
  <w:style w:type="paragraph" w:styleId="Indice3">
    <w:name w:val="index 3"/>
    <w:basedOn w:val="Normale"/>
    <w:next w:val="Normale"/>
    <w:autoRedefine/>
    <w:uiPriority w:val="99"/>
    <w:semiHidden/>
    <w:rsid w:val="00E77CB3"/>
    <w:pPr>
      <w:ind w:left="720" w:hanging="240"/>
    </w:pPr>
  </w:style>
  <w:style w:type="paragraph" w:styleId="Indice4">
    <w:name w:val="index 4"/>
    <w:basedOn w:val="Normale"/>
    <w:next w:val="Normale"/>
    <w:autoRedefine/>
    <w:uiPriority w:val="99"/>
    <w:semiHidden/>
    <w:rsid w:val="00E77CB3"/>
    <w:pPr>
      <w:ind w:left="960" w:hanging="240"/>
    </w:pPr>
  </w:style>
  <w:style w:type="paragraph" w:styleId="Indice5">
    <w:name w:val="index 5"/>
    <w:basedOn w:val="Normale"/>
    <w:next w:val="Normale"/>
    <w:autoRedefine/>
    <w:uiPriority w:val="99"/>
    <w:semiHidden/>
    <w:rsid w:val="00E77CB3"/>
    <w:pPr>
      <w:ind w:left="1200" w:hanging="240"/>
    </w:pPr>
  </w:style>
  <w:style w:type="paragraph" w:styleId="Indice6">
    <w:name w:val="index 6"/>
    <w:basedOn w:val="Normale"/>
    <w:next w:val="Normale"/>
    <w:autoRedefine/>
    <w:uiPriority w:val="99"/>
    <w:semiHidden/>
    <w:rsid w:val="00E77CB3"/>
    <w:pPr>
      <w:ind w:left="1440" w:hanging="240"/>
    </w:pPr>
  </w:style>
  <w:style w:type="paragraph" w:styleId="Indice7">
    <w:name w:val="index 7"/>
    <w:basedOn w:val="Normale"/>
    <w:next w:val="Normale"/>
    <w:autoRedefine/>
    <w:uiPriority w:val="99"/>
    <w:semiHidden/>
    <w:rsid w:val="00E77CB3"/>
    <w:pPr>
      <w:ind w:left="1680" w:hanging="240"/>
    </w:pPr>
  </w:style>
  <w:style w:type="paragraph" w:styleId="Indice8">
    <w:name w:val="index 8"/>
    <w:basedOn w:val="Normale"/>
    <w:next w:val="Normale"/>
    <w:autoRedefine/>
    <w:uiPriority w:val="99"/>
    <w:semiHidden/>
    <w:rsid w:val="00E77CB3"/>
    <w:pPr>
      <w:ind w:left="1920" w:hanging="240"/>
    </w:pPr>
  </w:style>
  <w:style w:type="paragraph" w:styleId="Indice9">
    <w:name w:val="index 9"/>
    <w:basedOn w:val="Normale"/>
    <w:next w:val="Normale"/>
    <w:autoRedefine/>
    <w:uiPriority w:val="99"/>
    <w:semiHidden/>
    <w:rsid w:val="00E77CB3"/>
    <w:pPr>
      <w:ind w:left="2160" w:hanging="240"/>
    </w:pPr>
  </w:style>
  <w:style w:type="paragraph" w:styleId="Titoloindice">
    <w:name w:val="index heading"/>
    <w:basedOn w:val="Normale"/>
    <w:next w:val="Indice1"/>
    <w:uiPriority w:val="99"/>
    <w:semiHidden/>
    <w:rsid w:val="00E77CB3"/>
    <w:rPr>
      <w:rFonts w:asciiTheme="majorHAnsi" w:eastAsiaTheme="majorEastAsia" w:hAnsiTheme="majorHAnsi" w:cstheme="majorBidi"/>
      <w:b/>
      <w:bCs/>
    </w:rPr>
  </w:style>
  <w:style w:type="table" w:styleId="Grigliachiara">
    <w:name w:val="Light Grid"/>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99"/>
    <w:semiHidden/>
    <w:rsid w:val="00E77CB3"/>
    <w:rPr>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99"/>
    <w:semiHidden/>
    <w:rsid w:val="00E77CB3"/>
    <w:rPr>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99"/>
    <w:semiHidden/>
    <w:rsid w:val="00E77CB3"/>
    <w:rPr>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99"/>
    <w:semiHidden/>
    <w:rsid w:val="00E77CB3"/>
    <w:rPr>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99"/>
    <w:semiHidden/>
    <w:rsid w:val="00E77CB3"/>
    <w:rPr>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99"/>
    <w:semiHidden/>
    <w:rsid w:val="00E77CB3"/>
    <w:rPr>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99"/>
    <w:semiHidden/>
    <w:rsid w:val="00E77CB3"/>
    <w:rPr>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99"/>
    <w:semiHidden/>
    <w:rsid w:val="00E77CB3"/>
    <w:rPr>
      <w:color w:val="000000" w:themeColor="text1" w:themeShade="BF"/>
      <w:lang w:val="fr-FR" w:eastAsia="fr-F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99"/>
    <w:semiHidden/>
    <w:rsid w:val="00E77CB3"/>
    <w:rPr>
      <w:color w:val="00548C" w:themeColor="accent1" w:themeShade="BF"/>
      <w:lang w:val="fr-FR" w:eastAsia="fr-FR"/>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99"/>
    <w:semiHidden/>
    <w:rsid w:val="00E77CB3"/>
    <w:rPr>
      <w:color w:val="8F0000" w:themeColor="accent2" w:themeShade="BF"/>
      <w:lang w:val="fr-FR" w:eastAsia="fr-FR"/>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99"/>
    <w:semiHidden/>
    <w:rsid w:val="00E77CB3"/>
    <w:rPr>
      <w:color w:val="474747" w:themeColor="accent3" w:themeShade="BF"/>
      <w:lang w:val="fr-FR" w:eastAsia="fr-FR"/>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99"/>
    <w:semiHidden/>
    <w:rsid w:val="00E77CB3"/>
    <w:rPr>
      <w:color w:val="707070" w:themeColor="accent4" w:themeShade="BF"/>
      <w:lang w:val="fr-FR" w:eastAsia="fr-FR"/>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99"/>
    <w:semiHidden/>
    <w:rsid w:val="00E77CB3"/>
    <w:rPr>
      <w:color w:val="474747" w:themeColor="accent5" w:themeShade="BF"/>
      <w:lang w:val="fr-FR" w:eastAsia="fr-FR"/>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99"/>
    <w:semiHidden/>
    <w:rsid w:val="00E77CB3"/>
    <w:rPr>
      <w:color w:val="393939" w:themeColor="accent6" w:themeShade="BF"/>
      <w:lang w:val="fr-FR" w:eastAsia="fr-FR"/>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rsid w:val="00E77CB3"/>
  </w:style>
  <w:style w:type="paragraph" w:styleId="Elenco">
    <w:name w:val="List"/>
    <w:basedOn w:val="Normale"/>
    <w:uiPriority w:val="99"/>
    <w:semiHidden/>
    <w:rsid w:val="00E77CB3"/>
    <w:pPr>
      <w:ind w:left="283" w:hanging="283"/>
      <w:contextualSpacing/>
    </w:pPr>
  </w:style>
  <w:style w:type="paragraph" w:styleId="Elenco2">
    <w:name w:val="List 2"/>
    <w:basedOn w:val="Normale"/>
    <w:uiPriority w:val="99"/>
    <w:semiHidden/>
    <w:rsid w:val="00E77CB3"/>
    <w:pPr>
      <w:ind w:left="566" w:hanging="283"/>
      <w:contextualSpacing/>
    </w:pPr>
  </w:style>
  <w:style w:type="paragraph" w:styleId="Elenco3">
    <w:name w:val="List 3"/>
    <w:basedOn w:val="Normale"/>
    <w:uiPriority w:val="99"/>
    <w:semiHidden/>
    <w:rsid w:val="00E77CB3"/>
    <w:pPr>
      <w:ind w:left="849" w:hanging="283"/>
      <w:contextualSpacing/>
    </w:pPr>
  </w:style>
  <w:style w:type="paragraph" w:styleId="Elenco4">
    <w:name w:val="List 4"/>
    <w:basedOn w:val="Normale"/>
    <w:uiPriority w:val="99"/>
    <w:semiHidden/>
    <w:rsid w:val="00E77CB3"/>
    <w:pPr>
      <w:ind w:left="1132" w:hanging="283"/>
      <w:contextualSpacing/>
    </w:pPr>
  </w:style>
  <w:style w:type="paragraph" w:styleId="Elenco5">
    <w:name w:val="List 5"/>
    <w:basedOn w:val="Normale"/>
    <w:uiPriority w:val="99"/>
    <w:semiHidden/>
    <w:rsid w:val="00E77CB3"/>
    <w:pPr>
      <w:ind w:left="1415" w:hanging="283"/>
      <w:contextualSpacing/>
    </w:pPr>
  </w:style>
  <w:style w:type="paragraph" w:styleId="Puntoelenco2">
    <w:name w:val="List Bullet 2"/>
    <w:basedOn w:val="Normale"/>
    <w:uiPriority w:val="99"/>
    <w:semiHidden/>
    <w:rsid w:val="00E77CB3"/>
    <w:pPr>
      <w:numPr>
        <w:numId w:val="5"/>
      </w:numPr>
      <w:contextualSpacing/>
    </w:pPr>
  </w:style>
  <w:style w:type="paragraph" w:styleId="Puntoelenco3">
    <w:name w:val="List Bullet 3"/>
    <w:basedOn w:val="Normale"/>
    <w:uiPriority w:val="99"/>
    <w:semiHidden/>
    <w:rsid w:val="00E77CB3"/>
    <w:pPr>
      <w:numPr>
        <w:numId w:val="6"/>
      </w:numPr>
      <w:contextualSpacing/>
    </w:pPr>
  </w:style>
  <w:style w:type="paragraph" w:styleId="Puntoelenco4">
    <w:name w:val="List Bullet 4"/>
    <w:basedOn w:val="Normale"/>
    <w:uiPriority w:val="99"/>
    <w:semiHidden/>
    <w:rsid w:val="00E77CB3"/>
    <w:pPr>
      <w:numPr>
        <w:numId w:val="7"/>
      </w:numPr>
      <w:contextualSpacing/>
    </w:pPr>
  </w:style>
  <w:style w:type="paragraph" w:styleId="Puntoelenco5">
    <w:name w:val="List Bullet 5"/>
    <w:basedOn w:val="Normale"/>
    <w:uiPriority w:val="99"/>
    <w:semiHidden/>
    <w:rsid w:val="00E77CB3"/>
    <w:pPr>
      <w:numPr>
        <w:numId w:val="8"/>
      </w:numPr>
      <w:contextualSpacing/>
    </w:pPr>
  </w:style>
  <w:style w:type="paragraph" w:styleId="Elencocontinua">
    <w:name w:val="List Continue"/>
    <w:basedOn w:val="Normale"/>
    <w:uiPriority w:val="99"/>
    <w:semiHidden/>
    <w:rsid w:val="00E77CB3"/>
    <w:pPr>
      <w:spacing w:after="120"/>
      <w:ind w:left="283"/>
      <w:contextualSpacing/>
    </w:pPr>
  </w:style>
  <w:style w:type="paragraph" w:styleId="Elencocontinua2">
    <w:name w:val="List Continue 2"/>
    <w:basedOn w:val="Normale"/>
    <w:uiPriority w:val="99"/>
    <w:semiHidden/>
    <w:rsid w:val="00E77CB3"/>
    <w:pPr>
      <w:spacing w:after="120"/>
      <w:ind w:left="566"/>
      <w:contextualSpacing/>
    </w:pPr>
  </w:style>
  <w:style w:type="paragraph" w:styleId="Elencocontinua3">
    <w:name w:val="List Continue 3"/>
    <w:basedOn w:val="Normale"/>
    <w:uiPriority w:val="99"/>
    <w:semiHidden/>
    <w:rsid w:val="00E77CB3"/>
    <w:pPr>
      <w:spacing w:after="120"/>
      <w:ind w:left="849"/>
      <w:contextualSpacing/>
    </w:pPr>
  </w:style>
  <w:style w:type="paragraph" w:styleId="Elencocontinua4">
    <w:name w:val="List Continue 4"/>
    <w:basedOn w:val="Normale"/>
    <w:uiPriority w:val="99"/>
    <w:semiHidden/>
    <w:rsid w:val="00E77CB3"/>
    <w:pPr>
      <w:spacing w:after="120"/>
      <w:ind w:left="1132"/>
      <w:contextualSpacing/>
    </w:pPr>
  </w:style>
  <w:style w:type="paragraph" w:styleId="Elencocontinua5">
    <w:name w:val="List Continue 5"/>
    <w:basedOn w:val="Normale"/>
    <w:uiPriority w:val="99"/>
    <w:semiHidden/>
    <w:rsid w:val="00E77CB3"/>
    <w:pPr>
      <w:spacing w:after="120"/>
      <w:ind w:left="1415"/>
      <w:contextualSpacing/>
    </w:pPr>
  </w:style>
  <w:style w:type="paragraph" w:styleId="Numeroelenco">
    <w:name w:val="List Number"/>
    <w:basedOn w:val="Normale"/>
    <w:uiPriority w:val="99"/>
    <w:semiHidden/>
    <w:rsid w:val="00E77CB3"/>
    <w:pPr>
      <w:numPr>
        <w:numId w:val="9"/>
      </w:numPr>
      <w:contextualSpacing/>
    </w:pPr>
  </w:style>
  <w:style w:type="paragraph" w:styleId="Numeroelenco2">
    <w:name w:val="List Number 2"/>
    <w:basedOn w:val="Normale"/>
    <w:uiPriority w:val="99"/>
    <w:semiHidden/>
    <w:rsid w:val="00E77CB3"/>
    <w:pPr>
      <w:numPr>
        <w:numId w:val="10"/>
      </w:numPr>
      <w:contextualSpacing/>
    </w:pPr>
  </w:style>
  <w:style w:type="paragraph" w:styleId="Numeroelenco3">
    <w:name w:val="List Number 3"/>
    <w:basedOn w:val="Normale"/>
    <w:uiPriority w:val="99"/>
    <w:semiHidden/>
    <w:rsid w:val="00E77CB3"/>
    <w:pPr>
      <w:numPr>
        <w:numId w:val="11"/>
      </w:numPr>
      <w:contextualSpacing/>
    </w:pPr>
  </w:style>
  <w:style w:type="paragraph" w:styleId="Numeroelenco4">
    <w:name w:val="List Number 4"/>
    <w:basedOn w:val="Normale"/>
    <w:uiPriority w:val="99"/>
    <w:semiHidden/>
    <w:rsid w:val="00E77CB3"/>
    <w:pPr>
      <w:numPr>
        <w:numId w:val="12"/>
      </w:numPr>
      <w:contextualSpacing/>
    </w:pPr>
  </w:style>
  <w:style w:type="paragraph" w:styleId="Numeroelenco5">
    <w:name w:val="List Number 5"/>
    <w:basedOn w:val="Normale"/>
    <w:uiPriority w:val="99"/>
    <w:semiHidden/>
    <w:rsid w:val="00E77CB3"/>
    <w:pPr>
      <w:numPr>
        <w:numId w:val="13"/>
      </w:numPr>
      <w:contextualSpacing/>
    </w:pPr>
  </w:style>
  <w:style w:type="paragraph" w:styleId="Testomacro">
    <w:name w:val="macro"/>
    <w:link w:val="TestomacroCarattere"/>
    <w:uiPriority w:val="99"/>
    <w:semiHidden/>
    <w:rsid w:val="00E77CB3"/>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77CB3"/>
    <w:rPr>
      <w:rFonts w:ascii="Consolas" w:eastAsiaTheme="minorEastAsia" w:hAnsi="Consolas" w:cs="Consolas"/>
      <w:sz w:val="20"/>
      <w:szCs w:val="20"/>
    </w:rPr>
  </w:style>
  <w:style w:type="table" w:styleId="Grigliamedia1">
    <w:name w:val="Medium Grid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99"/>
    <w:semiHidden/>
    <w:rsid w:val="00E77CB3"/>
    <w:rPr>
      <w:lang w:val="fr-FR" w:eastAsia="fr-FR"/>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99"/>
    <w:semiHidden/>
    <w:rsid w:val="00E77CB3"/>
    <w:rPr>
      <w:color w:val="000000" w:themeColor="text1"/>
      <w:lang w:val="fr-FR" w:eastAsia="fr-FR"/>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99"/>
    <w:semiHidden/>
    <w:rsid w:val="00E77CB3"/>
    <w:rPr>
      <w:color w:val="000000" w:themeColor="text1"/>
      <w:lang w:val="fr-FR" w:eastAsia="fr-FR"/>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99"/>
    <w:semiHidden/>
    <w:rsid w:val="00E77CB3"/>
    <w:rPr>
      <w:color w:val="000000" w:themeColor="text1"/>
      <w:lang w:val="fr-FR" w:eastAsia="fr-FR"/>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99"/>
    <w:semiHidden/>
    <w:rsid w:val="00E77CB3"/>
    <w:rPr>
      <w:color w:val="000000" w:themeColor="text1"/>
      <w:lang w:val="fr-FR" w:eastAsia="fr-FR"/>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99"/>
    <w:semiHidden/>
    <w:rsid w:val="00E77CB3"/>
    <w:rPr>
      <w:color w:val="000000" w:themeColor="text1"/>
      <w:lang w:val="fr-FR" w:eastAsia="fr-FR"/>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99"/>
    <w:semiHidden/>
    <w:rsid w:val="00E77CB3"/>
    <w:rPr>
      <w:color w:val="000000" w:themeColor="text1"/>
      <w:lang w:val="fr-FR" w:eastAsia="fr-FR"/>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99"/>
    <w:semiHidden/>
    <w:rsid w:val="00E77CB3"/>
    <w:rPr>
      <w:rFonts w:asciiTheme="majorHAnsi" w:eastAsiaTheme="majorEastAsia" w:hAnsiTheme="majorHAnsi" w:cstheme="majorBidi"/>
      <w:color w:val="000000" w:themeColor="text1"/>
      <w:lang w:val="fr-FR" w:eastAsia="fr-FR"/>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99"/>
    <w:semiHidden/>
    <w:rsid w:val="00E77CB3"/>
    <w:rPr>
      <w:lang w:val="fr-FR" w:eastAsia="fr-FR"/>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99"/>
    <w:semiHidden/>
    <w:rsid w:val="00E77CB3"/>
    <w:rPr>
      <w:lang w:val="fr-FR" w:eastAsia="fr-FR"/>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99"/>
    <w:semiHidden/>
    <w:rsid w:val="00E77CB3"/>
    <w:rPr>
      <w:lang w:val="fr-FR" w:eastAsia="fr-FR"/>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99"/>
    <w:semiHidden/>
    <w:rsid w:val="00E77CB3"/>
    <w:rPr>
      <w:lang w:val="fr-FR" w:eastAsia="fr-FR"/>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99"/>
    <w:semiHidden/>
    <w:rsid w:val="00E77CB3"/>
    <w:rPr>
      <w:lang w:val="fr-FR" w:eastAsia="fr-FR"/>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99"/>
    <w:semiHidden/>
    <w:rsid w:val="00E77CB3"/>
    <w:rPr>
      <w:lang w:val="fr-FR" w:eastAsia="fr-FR"/>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99"/>
    <w:semiHidden/>
    <w:rsid w:val="00E77CB3"/>
    <w:rPr>
      <w:lang w:val="fr-FR" w:eastAsia="fr-FR"/>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99"/>
    <w:semiHidden/>
    <w:rsid w:val="00E77CB3"/>
    <w:rPr>
      <w:lang w:val="fr-FR" w:eastAsia="fr-F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rsid w:val="00E77CB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77CB3"/>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rsid w:val="00E77CB3"/>
    <w:rPr>
      <w:rFonts w:ascii="Times New Roman" w:hAnsi="Times New Roman" w:cs="Times New Roman"/>
      <w:szCs w:val="24"/>
    </w:rPr>
  </w:style>
  <w:style w:type="paragraph" w:styleId="Rientronormale">
    <w:name w:val="Normal Indent"/>
    <w:basedOn w:val="Normale"/>
    <w:uiPriority w:val="99"/>
    <w:semiHidden/>
    <w:rsid w:val="00E77CB3"/>
    <w:pPr>
      <w:ind w:left="720"/>
    </w:pPr>
  </w:style>
  <w:style w:type="paragraph" w:styleId="Intestazionenota">
    <w:name w:val="Note Heading"/>
    <w:basedOn w:val="Normale"/>
    <w:next w:val="Normale"/>
    <w:link w:val="IntestazionenotaCarattere"/>
    <w:uiPriority w:val="99"/>
    <w:semiHidden/>
    <w:rsid w:val="00E77CB3"/>
  </w:style>
  <w:style w:type="character" w:customStyle="1" w:styleId="IntestazionenotaCarattere">
    <w:name w:val="Intestazione nota Carattere"/>
    <w:basedOn w:val="Carpredefinitoparagrafo"/>
    <w:link w:val="Intestazionenota"/>
    <w:uiPriority w:val="99"/>
    <w:semiHidden/>
    <w:rsid w:val="00E77CB3"/>
    <w:rPr>
      <w:rFonts w:eastAsiaTheme="minorEastAsia"/>
      <w:sz w:val="24"/>
    </w:rPr>
  </w:style>
  <w:style w:type="character" w:styleId="Testosegnaposto">
    <w:name w:val="Placeholder Text"/>
    <w:basedOn w:val="Carpredefinitoparagrafo"/>
    <w:uiPriority w:val="99"/>
    <w:semiHidden/>
    <w:rsid w:val="00031347"/>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rsid w:val="00E77CB3"/>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77CB3"/>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rsid w:val="00E77CB3"/>
  </w:style>
  <w:style w:type="character" w:customStyle="1" w:styleId="FormuladiaperturaCarattere">
    <w:name w:val="Formula di apertura Carattere"/>
    <w:basedOn w:val="Carpredefinitoparagrafo"/>
    <w:link w:val="Formuladiapertura"/>
    <w:uiPriority w:val="99"/>
    <w:semiHidden/>
    <w:rsid w:val="00E77CB3"/>
    <w:rPr>
      <w:rFonts w:eastAsiaTheme="minorEastAsia"/>
      <w:sz w:val="24"/>
    </w:rPr>
  </w:style>
  <w:style w:type="paragraph" w:styleId="Firma">
    <w:name w:val="Signature"/>
    <w:basedOn w:val="Normale"/>
    <w:link w:val="FirmaCarattere"/>
    <w:uiPriority w:val="99"/>
    <w:semiHidden/>
    <w:rsid w:val="00E77CB3"/>
    <w:pPr>
      <w:ind w:left="4252"/>
    </w:pPr>
  </w:style>
  <w:style w:type="character" w:customStyle="1" w:styleId="FirmaCarattere">
    <w:name w:val="Firma Carattere"/>
    <w:basedOn w:val="Carpredefinitoparagrafo"/>
    <w:link w:val="Firma"/>
    <w:uiPriority w:val="99"/>
    <w:semiHidden/>
    <w:rsid w:val="00E77CB3"/>
    <w:rPr>
      <w:rFonts w:eastAsiaTheme="minorEastAsia"/>
      <w:sz w:val="24"/>
    </w:rPr>
  </w:style>
  <w:style w:type="table" w:styleId="Tabellaeffetti3D1">
    <w:name w:val="Table 3D effects 1"/>
    <w:basedOn w:val="Tabellanormale"/>
    <w:uiPriority w:val="99"/>
    <w:semiHidden/>
    <w:rsid w:val="00E77CB3"/>
    <w:pPr>
      <w:jc w:val="both"/>
    </w:pPr>
    <w:rPr>
      <w:lang w:val="fr-FR" w:eastAsia="fr-FR"/>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rsid w:val="00E77CB3"/>
    <w:pPr>
      <w:jc w:val="both"/>
    </w:pPr>
    <w:rPr>
      <w:lang w:val="fr-FR" w:eastAsia="fr-FR"/>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rsid w:val="00E77CB3"/>
    <w:pPr>
      <w:jc w:val="both"/>
    </w:pPr>
    <w:rPr>
      <w:lang w:val="fr-FR" w:eastAsia="fr-FR"/>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rsid w:val="00E77CB3"/>
    <w:pPr>
      <w:jc w:val="both"/>
    </w:pPr>
    <w:rPr>
      <w:lang w:val="fr-FR" w:eastAsia="fr-FR"/>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rsid w:val="00E77CB3"/>
    <w:pPr>
      <w:jc w:val="both"/>
    </w:pPr>
    <w:rPr>
      <w:color w:val="000080"/>
      <w:lang w:val="fr-FR" w:eastAsia="fr-FR"/>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rsid w:val="00E77CB3"/>
    <w:pPr>
      <w:jc w:val="both"/>
    </w:pPr>
    <w:rPr>
      <w:lang w:val="fr-FR" w:eastAsia="fr-FR"/>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rsid w:val="00E77CB3"/>
    <w:pPr>
      <w:jc w:val="both"/>
    </w:pPr>
    <w:rPr>
      <w:color w:val="FFFFFF"/>
      <w:lang w:val="fr-FR" w:eastAsia="fr-FR"/>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rsid w:val="00E77CB3"/>
    <w:pPr>
      <w:jc w:val="both"/>
    </w:pPr>
    <w:rPr>
      <w:lang w:val="fr-FR" w:eastAsia="fr-FR"/>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rsid w:val="00E77CB3"/>
    <w:pPr>
      <w:jc w:val="both"/>
    </w:pPr>
    <w:rPr>
      <w:lang w:val="fr-FR" w:eastAsia="fr-F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rsid w:val="00E77CB3"/>
    <w:pPr>
      <w:jc w:val="both"/>
    </w:pPr>
    <w:rPr>
      <w:b/>
      <w:bCs/>
      <w:lang w:val="fr-FR" w:eastAsia="fr-FR"/>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rsid w:val="00E77CB3"/>
    <w:pPr>
      <w:jc w:val="both"/>
    </w:pPr>
    <w:rPr>
      <w:b/>
      <w:bCs/>
      <w:lang w:val="fr-FR"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rsid w:val="00E77CB3"/>
    <w:pPr>
      <w:jc w:val="both"/>
    </w:pPr>
    <w:rPr>
      <w:b/>
      <w:bCs/>
      <w:lang w:val="fr-FR" w:eastAsia="fr-FR"/>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rsid w:val="00E77CB3"/>
    <w:pPr>
      <w:jc w:val="both"/>
    </w:pPr>
    <w:rPr>
      <w:lang w:val="fr-FR" w:eastAsia="fr-FR"/>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rsid w:val="00E77CB3"/>
    <w:pPr>
      <w:jc w:val="both"/>
    </w:pPr>
    <w:rPr>
      <w:lang w:val="fr-FR" w:eastAsia="fr-FR"/>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rsid w:val="00E77CB3"/>
    <w:pPr>
      <w:jc w:val="both"/>
    </w:pPr>
    <w:rPr>
      <w:lang w:val="fr-FR" w:eastAsia="fr-F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rsid w:val="00E77CB3"/>
    <w:pPr>
      <w:jc w:val="both"/>
    </w:pPr>
    <w:rPr>
      <w:lang w:val="fr-FR" w:eastAsia="fr-F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1">
    <w:name w:val="Table Grid 1"/>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rsid w:val="00E77CB3"/>
    <w:pPr>
      <w:jc w:val="both"/>
    </w:pPr>
    <w:rPr>
      <w:lang w:val="fr-FR" w:eastAsia="fr-FR"/>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rsid w:val="00E77CB3"/>
    <w:pPr>
      <w:jc w:val="both"/>
    </w:pPr>
    <w:rPr>
      <w:lang w:val="fr-FR" w:eastAsia="fr-FR"/>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rsid w:val="00E77CB3"/>
    <w:pPr>
      <w:jc w:val="both"/>
    </w:pPr>
    <w:rPr>
      <w:lang w:val="fr-FR" w:eastAsia="fr-FR"/>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rsid w:val="00E77CB3"/>
    <w:pPr>
      <w:jc w:val="both"/>
    </w:pPr>
    <w:rPr>
      <w:b/>
      <w:bCs/>
      <w:lang w:val="fr-FR" w:eastAsia="fr-FR"/>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rsid w:val="00E77CB3"/>
    <w:pPr>
      <w:jc w:val="both"/>
    </w:pPr>
    <w:rPr>
      <w:lang w:val="fr-FR" w:eastAsia="fr-FR"/>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rsid w:val="00E77CB3"/>
    <w:pPr>
      <w:jc w:val="both"/>
    </w:pPr>
    <w:rPr>
      <w:lang w:val="fr-FR" w:eastAsia="fr-FR"/>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rsid w:val="00E77CB3"/>
    <w:pPr>
      <w:jc w:val="both"/>
    </w:pPr>
    <w:rPr>
      <w:lang w:val="fr-FR" w:eastAsia="fr-F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rsid w:val="00E77CB3"/>
    <w:pPr>
      <w:jc w:val="both"/>
    </w:pPr>
    <w:rPr>
      <w:lang w:val="fr-FR" w:eastAsia="fr-FR"/>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rsid w:val="00E77CB3"/>
    <w:pPr>
      <w:jc w:val="both"/>
    </w:pPr>
    <w:rPr>
      <w:lang w:val="fr-FR" w:eastAsia="fr-FR"/>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rsid w:val="00E77CB3"/>
    <w:pPr>
      <w:jc w:val="both"/>
    </w:pPr>
    <w:rPr>
      <w:lang w:val="fr-FR" w:eastAsia="fr-FR"/>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rsid w:val="00E77CB3"/>
    <w:pPr>
      <w:ind w:left="240" w:hanging="240"/>
    </w:pPr>
  </w:style>
  <w:style w:type="paragraph" w:styleId="Indicedellefigure">
    <w:name w:val="table of figures"/>
    <w:basedOn w:val="Normale"/>
    <w:next w:val="Normale"/>
    <w:uiPriority w:val="99"/>
    <w:semiHidden/>
    <w:rsid w:val="00E77CB3"/>
  </w:style>
  <w:style w:type="table" w:styleId="Tabellaprofessionale">
    <w:name w:val="Table Professional"/>
    <w:basedOn w:val="Tabellanormale"/>
    <w:uiPriority w:val="99"/>
    <w:semiHidden/>
    <w:rsid w:val="00E77CB3"/>
    <w:pPr>
      <w:jc w:val="both"/>
    </w:pPr>
    <w:rPr>
      <w:lang w:val="fr-FR" w:eastAsia="fr-FR"/>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rsid w:val="00E77CB3"/>
    <w:pPr>
      <w:jc w:val="both"/>
    </w:pPr>
    <w:rPr>
      <w:lang w:val="fr-FR" w:eastAsia="fr-F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rsid w:val="00E77CB3"/>
    <w:pPr>
      <w:jc w:val="both"/>
    </w:pPr>
    <w:rPr>
      <w:lang w:val="fr-FR" w:eastAsia="fr-FR"/>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rsid w:val="00E77CB3"/>
    <w:pPr>
      <w:jc w:val="both"/>
    </w:pPr>
    <w:rPr>
      <w:lang w:val="fr-FR" w:eastAsia="fr-FR"/>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rsid w:val="00E77CB3"/>
    <w:pPr>
      <w:jc w:val="both"/>
    </w:pPr>
    <w:rPr>
      <w:lang w:val="fr-FR" w:eastAsia="fr-FR"/>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rsid w:val="00E77CB3"/>
    <w:pPr>
      <w:jc w:val="both"/>
    </w:pPr>
    <w:rPr>
      <w:lang w:val="fr-FR" w:eastAsia="fr-F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rsid w:val="00E77CB3"/>
    <w:pPr>
      <w:jc w:val="both"/>
    </w:pPr>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rsid w:val="00E77CB3"/>
    <w:pPr>
      <w:jc w:val="both"/>
    </w:pPr>
    <w:rPr>
      <w:lang w:val="fr-FR" w:eastAsia="fr-FR"/>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rsid w:val="00E77CB3"/>
    <w:pPr>
      <w:jc w:val="both"/>
    </w:pPr>
    <w:rPr>
      <w:lang w:val="fr-FR" w:eastAsia="fr-FR"/>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rsid w:val="00E77CB3"/>
    <w:pPr>
      <w:jc w:val="both"/>
    </w:pPr>
    <w:rPr>
      <w:lang w:val="fr-FR"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Sommario6">
    <w:name w:val="toc 6"/>
    <w:basedOn w:val="Normale"/>
    <w:next w:val="Normale"/>
    <w:autoRedefine/>
    <w:uiPriority w:val="99"/>
    <w:semiHidden/>
    <w:rsid w:val="00031347"/>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031347"/>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9"/>
    <w:semiHidden/>
    <w:rsid w:val="00E77CB3"/>
    <w:pPr>
      <w:spacing w:after="100"/>
      <w:ind w:left="1680"/>
    </w:pPr>
  </w:style>
  <w:style w:type="paragraph" w:styleId="Sommario9">
    <w:name w:val="toc 9"/>
    <w:basedOn w:val="Normale"/>
    <w:next w:val="Normale"/>
    <w:autoRedefine/>
    <w:uiPriority w:val="99"/>
    <w:semiHidden/>
    <w:rsid w:val="00E77CB3"/>
    <w:pPr>
      <w:spacing w:after="100"/>
      <w:ind w:left="1920"/>
    </w:pPr>
  </w:style>
  <w:style w:type="paragraph" w:customStyle="1" w:styleId="JuLista">
    <w:name w:val="Ju_List_a"/>
    <w:basedOn w:val="JuList"/>
    <w:uiPriority w:val="28"/>
    <w:qFormat/>
    <w:rsid w:val="00352187"/>
    <w:pPr>
      <w:ind w:left="346" w:firstLine="0"/>
    </w:pPr>
  </w:style>
  <w:style w:type="paragraph" w:customStyle="1" w:styleId="JuListi">
    <w:name w:val="Ju_List_i"/>
    <w:basedOn w:val="Normale"/>
    <w:next w:val="JuLista"/>
    <w:uiPriority w:val="28"/>
    <w:qFormat/>
    <w:rsid w:val="00352187"/>
    <w:pPr>
      <w:ind w:left="794"/>
    </w:pPr>
    <w:rPr>
      <w:lang w:val="en-GB"/>
    </w:rPr>
  </w:style>
  <w:style w:type="paragraph" w:customStyle="1" w:styleId="OpiH1">
    <w:name w:val="Opi_H_1"/>
    <w:basedOn w:val="ECHRHeading2"/>
    <w:uiPriority w:val="42"/>
    <w:qFormat/>
    <w:rsid w:val="00352187"/>
    <w:pPr>
      <w:ind w:left="635" w:hanging="357"/>
      <w:outlineLvl w:val="2"/>
    </w:pPr>
  </w:style>
  <w:style w:type="paragraph" w:customStyle="1" w:styleId="OpiHa0">
    <w:name w:val="Opi_H_a"/>
    <w:basedOn w:val="ECHRHeading3"/>
    <w:uiPriority w:val="43"/>
    <w:qFormat/>
    <w:rsid w:val="00352187"/>
    <w:pPr>
      <w:ind w:left="833" w:hanging="357"/>
      <w:outlineLvl w:val="3"/>
    </w:pPr>
    <w:rPr>
      <w:b/>
      <w:i w:val="0"/>
      <w:sz w:val="20"/>
    </w:rPr>
  </w:style>
  <w:style w:type="paragraph" w:customStyle="1" w:styleId="OpiHi">
    <w:name w:val="Opi_H_i"/>
    <w:basedOn w:val="ECHRHeading4"/>
    <w:uiPriority w:val="44"/>
    <w:qFormat/>
    <w:rsid w:val="00352187"/>
    <w:pPr>
      <w:ind w:left="1037" w:hanging="357"/>
      <w:outlineLvl w:val="4"/>
    </w:pPr>
    <w:rPr>
      <w:b w:val="0"/>
      <w:i/>
    </w:rPr>
  </w:style>
  <w:style w:type="paragraph" w:customStyle="1" w:styleId="DummyStyle">
    <w:name w:val="Dummy_Style"/>
    <w:basedOn w:val="Normale"/>
    <w:semiHidden/>
    <w:qFormat/>
    <w:rsid w:val="00352187"/>
    <w:rPr>
      <w:color w:val="00B050"/>
      <w:lang w:val="en-GB"/>
    </w:rPr>
  </w:style>
  <w:style w:type="paragraph" w:customStyle="1" w:styleId="JuHeaderLandscape">
    <w:name w:val="Ju_Header_Landscape"/>
    <w:basedOn w:val="ECHRHeader"/>
    <w:uiPriority w:val="4"/>
    <w:qFormat/>
    <w:rsid w:val="00352187"/>
    <w:pPr>
      <w:tabs>
        <w:tab w:val="clear" w:pos="3686"/>
        <w:tab w:val="clear" w:pos="7371"/>
        <w:tab w:val="center" w:pos="6146"/>
        <w:tab w:val="right" w:pos="12293"/>
      </w:tabs>
    </w:pPr>
  </w:style>
  <w:style w:type="paragraph" w:customStyle="1" w:styleId="ECHRSpacer">
    <w:name w:val="ECHR_Spacer"/>
    <w:basedOn w:val="Normale"/>
    <w:uiPriority w:val="45"/>
    <w:rsid w:val="00AA755B"/>
    <w:pPr>
      <w:jc w:val="left"/>
    </w:pPr>
    <w:rPr>
      <w:rFonts w:eastAsiaTheme="minorHAnsi"/>
      <w:sz w:val="4"/>
    </w:rPr>
  </w:style>
  <w:style w:type="character" w:customStyle="1" w:styleId="JuParaCar">
    <w:name w:val="Ju_Para Car"/>
    <w:link w:val="ECHRPara"/>
    <w:uiPriority w:val="12"/>
    <w:rsid w:val="00520396"/>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82643">
      <w:bodyDiv w:val="1"/>
      <w:marLeft w:val="0"/>
      <w:marRight w:val="0"/>
      <w:marTop w:val="0"/>
      <w:marBottom w:val="0"/>
      <w:divBdr>
        <w:top w:val="none" w:sz="0" w:space="0" w:color="auto"/>
        <w:left w:val="none" w:sz="0" w:space="0" w:color="auto"/>
        <w:bottom w:val="none" w:sz="0" w:space="0" w:color="auto"/>
        <w:right w:val="none" w:sz="0" w:space="0" w:color="auto"/>
      </w:divBdr>
      <w:divsChild>
        <w:div w:id="677271402">
          <w:marLeft w:val="0"/>
          <w:marRight w:val="0"/>
          <w:marTop w:val="0"/>
          <w:marBottom w:val="0"/>
          <w:divBdr>
            <w:top w:val="none" w:sz="0" w:space="0" w:color="auto"/>
            <w:left w:val="none" w:sz="0" w:space="0" w:color="auto"/>
            <w:bottom w:val="none" w:sz="0" w:space="0" w:color="auto"/>
            <w:right w:val="none" w:sz="0" w:space="0" w:color="auto"/>
          </w:divBdr>
          <w:divsChild>
            <w:div w:id="1580629138">
              <w:marLeft w:val="0"/>
              <w:marRight w:val="0"/>
              <w:marTop w:val="0"/>
              <w:marBottom w:val="0"/>
              <w:divBdr>
                <w:top w:val="none" w:sz="0" w:space="0" w:color="auto"/>
                <w:left w:val="none" w:sz="0" w:space="0" w:color="auto"/>
                <w:bottom w:val="none" w:sz="0" w:space="0" w:color="auto"/>
                <w:right w:val="none" w:sz="0" w:space="0" w:color="auto"/>
              </w:divBdr>
              <w:divsChild>
                <w:div w:id="1344235977">
                  <w:marLeft w:val="0"/>
                  <w:marRight w:val="0"/>
                  <w:marTop w:val="0"/>
                  <w:marBottom w:val="0"/>
                  <w:divBdr>
                    <w:top w:val="none" w:sz="0" w:space="0" w:color="auto"/>
                    <w:left w:val="none" w:sz="0" w:space="0" w:color="auto"/>
                    <w:bottom w:val="none" w:sz="0" w:space="0" w:color="auto"/>
                    <w:right w:val="none" w:sz="0" w:space="0" w:color="auto"/>
                  </w:divBdr>
                  <w:divsChild>
                    <w:div w:id="655456310">
                      <w:marLeft w:val="0"/>
                      <w:marRight w:val="0"/>
                      <w:marTop w:val="0"/>
                      <w:marBottom w:val="0"/>
                      <w:divBdr>
                        <w:top w:val="none" w:sz="0" w:space="0" w:color="auto"/>
                        <w:left w:val="none" w:sz="0" w:space="0" w:color="auto"/>
                        <w:bottom w:val="none" w:sz="0" w:space="0" w:color="auto"/>
                        <w:right w:val="none" w:sz="0" w:space="0" w:color="auto"/>
                      </w:divBdr>
                      <w:divsChild>
                        <w:div w:id="1805999875">
                          <w:marLeft w:val="0"/>
                          <w:marRight w:val="0"/>
                          <w:marTop w:val="0"/>
                          <w:marBottom w:val="0"/>
                          <w:divBdr>
                            <w:top w:val="none" w:sz="0" w:space="0" w:color="auto"/>
                            <w:left w:val="none" w:sz="0" w:space="0" w:color="auto"/>
                            <w:bottom w:val="none" w:sz="0" w:space="0" w:color="auto"/>
                            <w:right w:val="none" w:sz="0" w:space="0" w:color="auto"/>
                          </w:divBdr>
                          <w:divsChild>
                            <w:div w:id="164477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061562">
      <w:bodyDiv w:val="1"/>
      <w:marLeft w:val="0"/>
      <w:marRight w:val="0"/>
      <w:marTop w:val="0"/>
      <w:marBottom w:val="0"/>
      <w:divBdr>
        <w:top w:val="none" w:sz="0" w:space="0" w:color="auto"/>
        <w:left w:val="none" w:sz="0" w:space="0" w:color="auto"/>
        <w:bottom w:val="none" w:sz="0" w:space="0" w:color="auto"/>
        <w:right w:val="none" w:sz="0" w:space="0" w:color="auto"/>
      </w:divBdr>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78532724">
      <w:bodyDiv w:val="1"/>
      <w:marLeft w:val="0"/>
      <w:marRight w:val="0"/>
      <w:marTop w:val="0"/>
      <w:marBottom w:val="0"/>
      <w:divBdr>
        <w:top w:val="none" w:sz="0" w:space="0" w:color="auto"/>
        <w:left w:val="none" w:sz="0" w:space="0" w:color="auto"/>
        <w:bottom w:val="none" w:sz="0" w:space="0" w:color="auto"/>
        <w:right w:val="none" w:sz="0" w:space="0" w:color="auto"/>
      </w:divBdr>
    </w:div>
    <w:div w:id="203758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63EC9-8EB9-4D41-802B-981E97A2DB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41FBB5-9D41-4DD8-B331-458FC26EB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58BABC3-A0A4-4BCD-A3D6-35D433831B83}">
  <ds:schemaRefs>
    <ds:schemaRef ds:uri="http://schemas.microsoft.com/sharepoint/v3/contenttype/forms"/>
  </ds:schemaRefs>
</ds:datastoreItem>
</file>

<file path=customXml/itemProps4.xml><?xml version="1.0" encoding="utf-8"?>
<ds:datastoreItem xmlns:ds="http://schemas.openxmlformats.org/officeDocument/2006/customXml" ds:itemID="{824DFB40-EF5D-4386-BFBD-3A5CF3B60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8014</Words>
  <Characters>45684</Characters>
  <Application>Microsoft Office Word</Application>
  <DocSecurity>0</DocSecurity>
  <Lines>380</Lines>
  <Paragraphs>107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53591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DJF</dc:subject>
  <dc:creator/>
  <cp:lastModifiedBy/>
  <cp:revision>1</cp:revision>
  <dcterms:created xsi:type="dcterms:W3CDTF">2018-03-06T15:13:00Z</dcterms:created>
  <dcterms:modified xsi:type="dcterms:W3CDTF">2018-03-06T15:13:00Z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1036</vt:i4>
  </property>
  <property fmtid="{D5CDD505-2E9C-101B-9397-08002B2CF9AE}" pid="3" name="RegisteredNo">
    <vt:lpwstr>65173/09</vt:lpwstr>
  </property>
  <property fmtid="{D5CDD505-2E9C-101B-9397-08002B2CF9AE}" pid="4" name="CASEID">
    <vt:lpwstr>611451</vt:lpwstr>
  </property>
  <property fmtid="{D5CDD505-2E9C-101B-9397-08002B2CF9AE}" pid="5" name="ContentTypeId">
    <vt:lpwstr>0x010100558EB02BDB9E204AB350EDD385B68E10</vt:lpwstr>
  </property>
</Properties>
</file>